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40B3B" w:rsidRDefault="00240B3B">
      <w:pPr>
        <w:rPr>
          <w:rFonts w:hint="eastAsia"/>
        </w:rPr>
      </w:pPr>
    </w:p>
    <w:tbl>
      <w:tblPr>
        <w:tblStyle w:val="a"/>
        <w:tblW w:w="10125" w:type="dxa"/>
        <w:tblInd w:w="15" w:type="dxa"/>
        <w:tblBorders>
          <w:top w:val="single" w:sz="8" w:space="0" w:color="29333D"/>
          <w:left w:val="single" w:sz="8" w:space="0" w:color="29333D"/>
          <w:bottom w:val="single" w:sz="8" w:space="0" w:color="29333D"/>
          <w:right w:val="single" w:sz="8" w:space="0" w:color="29333D"/>
          <w:insideH w:val="single" w:sz="8" w:space="0" w:color="29333D"/>
          <w:insideV w:val="single" w:sz="8" w:space="0" w:color="29333D"/>
        </w:tblBorders>
        <w:tblLayout w:type="fixed"/>
        <w:tblLook w:val="0600" w:firstRow="0" w:lastRow="0" w:firstColumn="0" w:lastColumn="0" w:noHBand="1" w:noVBand="1"/>
      </w:tblPr>
      <w:tblGrid>
        <w:gridCol w:w="2580"/>
        <w:gridCol w:w="2835"/>
        <w:gridCol w:w="2940"/>
        <w:gridCol w:w="1770"/>
      </w:tblGrid>
      <w:tr w:rsidR="00240B3B">
        <w:trPr>
          <w:trHeight w:val="225"/>
          <w:tblHeader/>
        </w:trPr>
        <w:tc>
          <w:tcPr>
            <w:tcW w:w="258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pStyle w:val="Heading4"/>
              <w:rPr>
                <w:sz w:val="22"/>
                <w:szCs w:val="22"/>
              </w:rPr>
            </w:pPr>
            <w:bookmarkStart w:id="0" w:name="_65x1p9c8h3l0" w:colFirst="0" w:colLast="0"/>
            <w:bookmarkEnd w:id="0"/>
          </w:p>
          <w:p w:rsidR="00240B3B" w:rsidRDefault="00000000">
            <w:pPr>
              <w:pStyle w:val="Heading4"/>
              <w:jc w:val="center"/>
              <w:rPr>
                <w:sz w:val="22"/>
                <w:szCs w:val="22"/>
              </w:rPr>
            </w:pPr>
            <w:bookmarkStart w:id="1" w:name="_aai6dyz0egup" w:colFirst="0" w:colLast="0"/>
            <w:bookmarkEnd w:id="1"/>
            <w:r>
              <w:rPr>
                <w:sz w:val="22"/>
                <w:szCs w:val="22"/>
              </w:rPr>
              <w:t>FULL LEGAL NAME</w:t>
            </w:r>
          </w:p>
        </w:tc>
        <w:tc>
          <w:tcPr>
            <w:tcW w:w="2835"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widowControl w:val="0"/>
              <w:spacing w:line="240" w:lineRule="auto"/>
              <w:jc w:val="center"/>
              <w:rPr>
                <w:b/>
                <w:color w:val="FFFFFF"/>
                <w:sz w:val="22"/>
                <w:szCs w:val="22"/>
              </w:rPr>
            </w:pPr>
          </w:p>
          <w:p w:rsidR="00240B3B" w:rsidRDefault="00000000">
            <w:pPr>
              <w:widowControl w:val="0"/>
              <w:spacing w:line="240" w:lineRule="auto"/>
              <w:jc w:val="center"/>
              <w:rPr>
                <w:sz w:val="26"/>
                <w:szCs w:val="26"/>
              </w:rPr>
            </w:pPr>
            <w:r>
              <w:rPr>
                <w:b/>
                <w:color w:val="FFFFFF"/>
                <w:sz w:val="22"/>
                <w:szCs w:val="22"/>
              </w:rPr>
              <w:t>LOCATION (COUNTRY)</w:t>
            </w:r>
          </w:p>
        </w:tc>
        <w:tc>
          <w:tcPr>
            <w:tcW w:w="294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widowControl w:val="0"/>
              <w:spacing w:line="240" w:lineRule="auto"/>
              <w:jc w:val="center"/>
              <w:rPr>
                <w:b/>
                <w:color w:val="FFFFFF"/>
                <w:sz w:val="22"/>
                <w:szCs w:val="22"/>
              </w:rPr>
            </w:pPr>
          </w:p>
          <w:p w:rsidR="00240B3B" w:rsidRDefault="00000000">
            <w:pPr>
              <w:widowControl w:val="0"/>
              <w:spacing w:line="240" w:lineRule="auto"/>
              <w:jc w:val="center"/>
              <w:rPr>
                <w:sz w:val="26"/>
                <w:szCs w:val="26"/>
              </w:rPr>
            </w:pPr>
            <w:r>
              <w:rPr>
                <w:b/>
                <w:color w:val="FFFFFF"/>
                <w:sz w:val="22"/>
                <w:szCs w:val="22"/>
              </w:rPr>
              <w:t>EMAIL ADDRESS</w:t>
            </w:r>
          </w:p>
        </w:tc>
        <w:tc>
          <w:tcPr>
            <w:tcW w:w="177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000000">
            <w:pPr>
              <w:widowControl w:val="0"/>
              <w:spacing w:line="240" w:lineRule="auto"/>
              <w:jc w:val="center"/>
              <w:rPr>
                <w:b/>
                <w:color w:val="FFFFFF"/>
                <w:sz w:val="16"/>
                <w:szCs w:val="16"/>
              </w:rPr>
            </w:pPr>
            <w:r>
              <w:rPr>
                <w:b/>
                <w:color w:val="FFFFFF"/>
                <w:sz w:val="16"/>
                <w:szCs w:val="16"/>
              </w:rPr>
              <w:t>MARK X FOR ANY NON-CONTRIBUTING MEMBER</w:t>
            </w: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Pr="00D205F8" w:rsidRDefault="00D205F8">
            <w:pPr>
              <w:spacing w:line="240" w:lineRule="auto"/>
              <w:rPr>
                <w:rFonts w:ascii="Calibri" w:eastAsia="Calibri" w:hAnsi="Calibri" w:cs="Calibri"/>
                <w:color w:val="000000"/>
                <w:sz w:val="20"/>
                <w:szCs w:val="20"/>
                <w:lang w:val="en-US"/>
              </w:rPr>
            </w:pPr>
            <w:proofErr w:type="spellStart"/>
            <w:r>
              <w:rPr>
                <w:rFonts w:ascii="Calibri" w:eastAsia="Calibri" w:hAnsi="Calibri" w:cs="Calibri" w:hint="eastAsia"/>
                <w:color w:val="000000"/>
                <w:sz w:val="20"/>
                <w:szCs w:val="20"/>
              </w:rPr>
              <w:t>Ha</w:t>
            </w:r>
            <w:r>
              <w:rPr>
                <w:rFonts w:ascii="Calibri" w:eastAsia="Calibri" w:hAnsi="Calibri" w:cs="Calibri"/>
                <w:color w:val="000000"/>
                <w:sz w:val="20"/>
                <w:szCs w:val="20"/>
              </w:rPr>
              <w:t>ow</w:t>
            </w:r>
            <w:r>
              <w:rPr>
                <w:rFonts w:ascii="Calibri" w:eastAsia="Calibri" w:hAnsi="Calibri" w:cs="Calibri" w:hint="eastAsia"/>
                <w:color w:val="000000"/>
                <w:sz w:val="20"/>
                <w:szCs w:val="20"/>
              </w:rPr>
              <w:t>en</w:t>
            </w:r>
            <w:proofErr w:type="spellEnd"/>
            <w:r>
              <w:rPr>
                <w:rFonts w:ascii="Calibri" w:eastAsia="Calibri" w:hAnsi="Calibri" w:cs="Calibri"/>
                <w:color w:val="000000"/>
                <w:sz w:val="20"/>
                <w:szCs w:val="20"/>
                <w:lang w:val="en-US"/>
              </w:rPr>
              <w:t xml:space="preserve"> Shen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D205F8">
            <w:pPr>
              <w:spacing w:line="240" w:lineRule="auto"/>
              <w:rPr>
                <w:rFonts w:ascii="Calibri" w:eastAsia="Calibri" w:hAnsi="Calibri" w:cs="Calibri"/>
                <w:color w:val="000000"/>
                <w:sz w:val="20"/>
                <w:szCs w:val="20"/>
              </w:rPr>
            </w:pPr>
            <w:r>
              <w:rPr>
                <w:rFonts w:ascii="Calibri" w:eastAsia="Calibri" w:hAnsi="Calibri" w:cs="Calibri"/>
                <w:color w:val="000000"/>
                <w:sz w:val="20"/>
                <w:szCs w:val="20"/>
              </w:rPr>
              <w:t>China</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D205F8">
            <w:pPr>
              <w:spacing w:line="240" w:lineRule="auto"/>
              <w:rPr>
                <w:rFonts w:ascii="Calibri" w:eastAsia="Calibri" w:hAnsi="Calibri" w:cs="Calibri"/>
                <w:color w:val="000000"/>
                <w:sz w:val="20"/>
                <w:szCs w:val="20"/>
              </w:rPr>
            </w:pPr>
            <w:r>
              <w:rPr>
                <w:rFonts w:ascii="Calibri" w:eastAsia="Calibri" w:hAnsi="Calibri" w:cs="Calibri"/>
                <w:color w:val="000000"/>
                <w:sz w:val="20"/>
                <w:szCs w:val="20"/>
              </w:rPr>
              <w:t>0xconnor3@gmail.com</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ind w:left="270"/>
              <w:jc w:val="center"/>
              <w:rPr>
                <w:rFonts w:ascii="Calibri" w:eastAsia="Calibri" w:hAnsi="Calibri" w:cs="Calibri"/>
                <w:color w:val="000000"/>
                <w:sz w:val="20"/>
                <w:szCs w:val="20"/>
              </w:rPr>
            </w:pP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jc w:val="center"/>
              <w:rPr>
                <w:rFonts w:ascii="Calibri" w:eastAsia="Calibri" w:hAnsi="Calibri" w:cs="Calibri"/>
                <w:color w:val="000000"/>
                <w:sz w:val="20"/>
                <w:szCs w:val="20"/>
              </w:rPr>
            </w:pP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jc w:val="center"/>
              <w:rPr>
                <w:rFonts w:ascii="Calibri" w:eastAsia="Calibri" w:hAnsi="Calibri" w:cs="Calibri"/>
                <w:color w:val="000000"/>
                <w:sz w:val="20"/>
                <w:szCs w:val="20"/>
              </w:rPr>
            </w:pPr>
          </w:p>
        </w:tc>
      </w:tr>
    </w:tbl>
    <w:p w:rsidR="00240B3B" w:rsidRDefault="00240B3B">
      <w:pPr>
        <w:rPr>
          <w:rFonts w:ascii="Calibri" w:eastAsia="Calibri" w:hAnsi="Calibri" w:cs="Calibri"/>
          <w:color w:val="41395F"/>
        </w:rPr>
      </w:pPr>
    </w:p>
    <w:p w:rsidR="00240B3B" w:rsidRDefault="00240B3B">
      <w:pPr>
        <w:rPr>
          <w:rFonts w:ascii="Calibri" w:eastAsia="Calibri" w:hAnsi="Calibri" w:cs="Calibri"/>
          <w:b/>
          <w:color w:val="41395F"/>
        </w:rPr>
      </w:pPr>
    </w:p>
    <w:tbl>
      <w:tblPr>
        <w:tblStyle w:val="a0"/>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8160"/>
      </w:tblGrid>
      <w:tr w:rsidR="00240B3B">
        <w:trPr>
          <w:trHeight w:val="440"/>
        </w:trPr>
        <w:tc>
          <w:tcPr>
            <w:tcW w:w="10200" w:type="dxa"/>
            <w:gridSpan w:val="2"/>
            <w:tcBorders>
              <w:top w:val="single" w:sz="8" w:space="0" w:color="29333D"/>
              <w:left w:val="single" w:sz="8" w:space="0" w:color="29333D"/>
              <w:bottom w:val="single" w:sz="8" w:space="0" w:color="29333D"/>
              <w:right w:val="single" w:sz="8" w:space="0" w:color="29333D"/>
            </w:tcBorders>
            <w:shd w:val="clear" w:color="auto" w:fill="41395F"/>
            <w:tcMar>
              <w:top w:w="100" w:type="dxa"/>
              <w:left w:w="100" w:type="dxa"/>
              <w:bottom w:w="100" w:type="dxa"/>
              <w:right w:w="100" w:type="dxa"/>
            </w:tcMar>
          </w:tcPr>
          <w:p w:rsidR="00240B3B" w:rsidRDefault="00000000">
            <w:pPr>
              <w:widowControl w:val="0"/>
              <w:spacing w:line="240" w:lineRule="auto"/>
              <w:rPr>
                <w:color w:val="FFFFFF"/>
              </w:rPr>
            </w:pPr>
            <w:r>
              <w:rPr>
                <w:b/>
                <w:color w:val="FFFFFF"/>
              </w:rPr>
              <w:t xml:space="preserve">Statement of integrity: </w:t>
            </w:r>
            <w:r>
              <w:rPr>
                <w:color w:val="FFFFFF"/>
              </w:rPr>
              <w:t>By typing the names of all group members in the text boxes below, you confirm that the assignment submitted is original work produced by the group (excluding any non-contributing members identified with an “X” above).</w:t>
            </w:r>
          </w:p>
        </w:tc>
      </w:tr>
      <w:tr w:rsidR="00240B3B">
        <w:tc>
          <w:tcPr>
            <w:tcW w:w="2040" w:type="dxa"/>
            <w:tcBorders>
              <w:top w:val="single" w:sz="8" w:space="0" w:color="29333D"/>
            </w:tcBorders>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1</w:t>
            </w:r>
          </w:p>
        </w:tc>
        <w:tc>
          <w:tcPr>
            <w:tcW w:w="8160" w:type="dxa"/>
            <w:tcBorders>
              <w:top w:val="single" w:sz="8" w:space="0" w:color="29333D"/>
            </w:tcBorders>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b/>
                <w:color w:val="41395F"/>
                <w:sz w:val="22"/>
                <w:szCs w:val="22"/>
              </w:rPr>
            </w:pPr>
          </w:p>
        </w:tc>
      </w:tr>
      <w:tr w:rsidR="00240B3B">
        <w:tc>
          <w:tcPr>
            <w:tcW w:w="2040" w:type="dxa"/>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2</w:t>
            </w:r>
          </w:p>
        </w:tc>
        <w:tc>
          <w:tcPr>
            <w:tcW w:w="8160"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b/>
                <w:color w:val="41395F"/>
                <w:sz w:val="22"/>
                <w:szCs w:val="22"/>
              </w:rPr>
            </w:pPr>
          </w:p>
        </w:tc>
      </w:tr>
      <w:tr w:rsidR="00240B3B">
        <w:tc>
          <w:tcPr>
            <w:tcW w:w="2040" w:type="dxa"/>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3</w:t>
            </w:r>
          </w:p>
        </w:tc>
        <w:tc>
          <w:tcPr>
            <w:tcW w:w="8160"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b/>
                <w:color w:val="41395F"/>
                <w:sz w:val="22"/>
                <w:szCs w:val="22"/>
              </w:rPr>
            </w:pPr>
          </w:p>
        </w:tc>
      </w:tr>
    </w:tbl>
    <w:p w:rsidR="00240B3B" w:rsidRDefault="00240B3B"/>
    <w:p w:rsidR="00240B3B" w:rsidRDefault="00240B3B"/>
    <w:tbl>
      <w:tblPr>
        <w:tblStyle w:val="a1"/>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240B3B">
        <w:tc>
          <w:tcPr>
            <w:tcW w:w="10185" w:type="dxa"/>
            <w:shd w:val="clear" w:color="auto" w:fill="41395F"/>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color w:val="FFFFFF"/>
                <w:sz w:val="22"/>
                <w:szCs w:val="22"/>
              </w:rPr>
            </w:pPr>
            <w:r>
              <w:rPr>
                <w:color w:val="FFFFFF"/>
                <w:sz w:val="22"/>
                <w:szCs w:val="22"/>
              </w:rPr>
              <w:t xml:space="preserve">Use the box below to explain any attempts to reach out to a non-contributing member. Type (N/A) if all members contributed. </w:t>
            </w:r>
          </w:p>
          <w:p w:rsidR="00240B3B" w:rsidRDefault="00000000">
            <w:pPr>
              <w:widowControl w:val="0"/>
              <w:pBdr>
                <w:top w:val="nil"/>
                <w:left w:val="nil"/>
                <w:bottom w:val="nil"/>
                <w:right w:val="nil"/>
                <w:between w:val="nil"/>
              </w:pBdr>
              <w:spacing w:line="240" w:lineRule="auto"/>
              <w:rPr>
                <w:color w:val="FFFFFF"/>
                <w:sz w:val="22"/>
                <w:szCs w:val="22"/>
              </w:rPr>
            </w:pPr>
            <w:r>
              <w:rPr>
                <w:b/>
                <w:color w:val="FFFFFF"/>
                <w:sz w:val="22"/>
                <w:szCs w:val="22"/>
              </w:rPr>
              <w:t xml:space="preserve">Note: </w:t>
            </w:r>
            <w:r>
              <w:rPr>
                <w:color w:val="FFFFFF"/>
                <w:sz w:val="22"/>
                <w:szCs w:val="22"/>
              </w:rPr>
              <w:t>You may be required to provide proof of your outreach to non-contributing members upon request.</w:t>
            </w:r>
          </w:p>
        </w:tc>
      </w:tr>
      <w:tr w:rsidR="00240B3B">
        <w:tc>
          <w:tcPr>
            <w:tcW w:w="10185"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tc>
      </w:tr>
    </w:tbl>
    <w:p w:rsidR="00240B3B" w:rsidRDefault="00000000">
      <w:pPr>
        <w:rPr>
          <w:rFonts w:ascii="Calibri" w:eastAsia="Calibri" w:hAnsi="Calibri" w:cs="Calibri"/>
          <w:b/>
          <w:sz w:val="22"/>
          <w:szCs w:val="22"/>
        </w:rPr>
      </w:pPr>
      <w:r>
        <w:br w:type="page"/>
      </w:r>
    </w:p>
    <w:p w:rsidR="00240B3B" w:rsidRDefault="00240B3B">
      <w:pPr>
        <w:rPr>
          <w:rFonts w:ascii="Calibri" w:eastAsia="Calibri" w:hAnsi="Calibri" w:cs="Calibri"/>
          <w:b/>
          <w:sz w:val="22"/>
          <w:szCs w:val="22"/>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40B3B">
        <w:tc>
          <w:tcPr>
            <w:tcW w:w="9360" w:type="dxa"/>
            <w:shd w:val="clear" w:color="auto" w:fill="E17714"/>
            <w:tcMar>
              <w:top w:w="100" w:type="dxa"/>
              <w:left w:w="100" w:type="dxa"/>
              <w:bottom w:w="100" w:type="dxa"/>
              <w:right w:w="100" w:type="dxa"/>
            </w:tcMar>
          </w:tcPr>
          <w:p w:rsidR="00240B3B" w:rsidRDefault="00000000">
            <w:pPr>
              <w:numPr>
                <w:ilvl w:val="0"/>
                <w:numId w:val="2"/>
              </w:numPr>
              <w:ind w:left="360"/>
              <w:rPr>
                <w:b/>
                <w:sz w:val="22"/>
                <w:szCs w:val="22"/>
              </w:rPr>
            </w:pPr>
            <w:r>
              <w:rPr>
                <w:rFonts w:ascii="Nova Mono" w:eastAsia="Nova Mono" w:hAnsi="Nova Mono" w:cs="Nova Mono"/>
                <w:b/>
                <w:sz w:val="22"/>
                <w:szCs w:val="22"/>
              </w:rPr>
              <w:t xml:space="preserve"> On top left of your screen click on File →Download → Microsoft Word (.docx) to download this template</w:t>
            </w:r>
          </w:p>
          <w:p w:rsidR="00240B3B" w:rsidRDefault="00000000">
            <w:pPr>
              <w:numPr>
                <w:ilvl w:val="0"/>
                <w:numId w:val="2"/>
              </w:numPr>
              <w:ind w:left="360"/>
              <w:rPr>
                <w:b/>
                <w:sz w:val="22"/>
                <w:szCs w:val="22"/>
              </w:rPr>
            </w:pPr>
            <w:r>
              <w:rPr>
                <w:b/>
                <w:sz w:val="22"/>
                <w:szCs w:val="22"/>
              </w:rPr>
              <w:t>Upload the template in Google Drive and share it with your group members</w:t>
            </w:r>
          </w:p>
          <w:p w:rsidR="00240B3B" w:rsidRDefault="00000000">
            <w:pPr>
              <w:numPr>
                <w:ilvl w:val="0"/>
                <w:numId w:val="2"/>
              </w:numPr>
              <w:ind w:left="360"/>
              <w:rPr>
                <w:b/>
                <w:sz w:val="22"/>
                <w:szCs w:val="22"/>
              </w:rPr>
            </w:pPr>
            <w:r>
              <w:rPr>
                <w:b/>
                <w:sz w:val="22"/>
                <w:szCs w:val="22"/>
              </w:rPr>
              <w:t>Delete this page with the requirements before submitting your report. Leaving them will result in an increased similarity score on Turnitin.</w:t>
            </w:r>
          </w:p>
        </w:tc>
      </w:tr>
    </w:tbl>
    <w:p w:rsidR="00240B3B" w:rsidRDefault="00240B3B">
      <w:pPr>
        <w:rPr>
          <w:rFonts w:ascii="Calibri" w:eastAsia="Calibri" w:hAnsi="Calibri" w:cs="Calibri"/>
        </w:rPr>
      </w:pPr>
    </w:p>
    <w:p w:rsidR="00240B3B" w:rsidRDefault="00000000">
      <w:pPr>
        <w:spacing w:after="120"/>
        <w:rPr>
          <w:color w:val="000000"/>
          <w:sz w:val="22"/>
          <w:szCs w:val="22"/>
        </w:rPr>
      </w:pPr>
      <w:r>
        <w:rPr>
          <w:color w:val="000000"/>
          <w:sz w:val="22"/>
          <w:szCs w:val="22"/>
        </w:rPr>
        <w:t>Keep in mind the following:</w:t>
      </w:r>
    </w:p>
    <w:p w:rsidR="00240B3B" w:rsidRDefault="00000000">
      <w:pPr>
        <w:numPr>
          <w:ilvl w:val="0"/>
          <w:numId w:val="1"/>
        </w:numPr>
        <w:spacing w:after="180"/>
        <w:ind w:left="763"/>
        <w:rPr>
          <w:color w:val="000000"/>
          <w:sz w:val="22"/>
          <w:szCs w:val="22"/>
        </w:rPr>
      </w:pPr>
      <w:r>
        <w:rPr>
          <w:color w:val="000000"/>
          <w:sz w:val="22"/>
          <w:szCs w:val="22"/>
        </w:rPr>
        <w:t xml:space="preserve">Make sure you address all the questions in the GWP assignment document published in the Course Overview. </w:t>
      </w:r>
    </w:p>
    <w:p w:rsidR="00240B3B" w:rsidRDefault="00000000">
      <w:pPr>
        <w:numPr>
          <w:ilvl w:val="0"/>
          <w:numId w:val="1"/>
        </w:numPr>
        <w:spacing w:after="180"/>
        <w:rPr>
          <w:color w:val="000000"/>
          <w:sz w:val="22"/>
          <w:szCs w:val="22"/>
        </w:rPr>
      </w:pPr>
      <w:r>
        <w:rPr>
          <w:color w:val="000000"/>
          <w:sz w:val="22"/>
          <w:szCs w:val="22"/>
        </w:rPr>
        <w:t>Follow the “Submission requirements and format</w:t>
      </w:r>
      <w:proofErr w:type="gramStart"/>
      <w:r>
        <w:rPr>
          <w:color w:val="000000"/>
          <w:sz w:val="22"/>
          <w:szCs w:val="22"/>
        </w:rPr>
        <w:t>’  instructions</w:t>
      </w:r>
      <w:proofErr w:type="gramEnd"/>
      <w:r>
        <w:rPr>
          <w:color w:val="000000"/>
          <w:sz w:val="22"/>
          <w:szCs w:val="22"/>
        </w:rPr>
        <w:t xml:space="preserve"> included in each Group Work Project Assignment, including report length.</w:t>
      </w:r>
    </w:p>
    <w:p w:rsidR="00240B3B" w:rsidRDefault="00000000">
      <w:pPr>
        <w:numPr>
          <w:ilvl w:val="0"/>
          <w:numId w:val="1"/>
        </w:numPr>
        <w:spacing w:after="180"/>
        <w:ind w:left="763"/>
        <w:rPr>
          <w:rFonts w:ascii="Calibri" w:eastAsia="Calibri" w:hAnsi="Calibri" w:cs="Calibri"/>
          <w:color w:val="000000"/>
          <w:sz w:val="22"/>
          <w:szCs w:val="22"/>
        </w:rPr>
      </w:pPr>
      <w:r>
        <w:rPr>
          <w:b/>
          <w:color w:val="000000"/>
          <w:sz w:val="22"/>
          <w:szCs w:val="22"/>
        </w:rPr>
        <w:t>Including in-text citations and related references is mandatory for all submissions.</w:t>
      </w:r>
      <w:r>
        <w:rPr>
          <w:color w:val="000000"/>
          <w:sz w:val="22"/>
          <w:szCs w:val="22"/>
        </w:rPr>
        <w:t xml:space="preserve"> You will receive a ‘0’ grade for missing in-text citations and references, or penalties for partial completion. Use the </w:t>
      </w:r>
      <w:hyperlink r:id="rId8">
        <w:r w:rsidR="00240B3B">
          <w:rPr>
            <w:b/>
            <w:color w:val="1155CC"/>
            <w:sz w:val="22"/>
            <w:szCs w:val="22"/>
            <w:u w:val="single"/>
          </w:rPr>
          <w:t>In-Text Citations and References Guide</w:t>
        </w:r>
      </w:hyperlink>
      <w:r>
        <w:rPr>
          <w:color w:val="000000"/>
          <w:sz w:val="22"/>
          <w:szCs w:val="22"/>
        </w:rPr>
        <w:t xml:space="preserve"> to learn how to include them.</w:t>
      </w:r>
    </w:p>
    <w:p w:rsidR="00240B3B" w:rsidRDefault="00000000">
      <w:pPr>
        <w:numPr>
          <w:ilvl w:val="0"/>
          <w:numId w:val="1"/>
        </w:numPr>
        <w:spacing w:after="180"/>
        <w:ind w:left="763"/>
        <w:rPr>
          <w:color w:val="000000"/>
          <w:sz w:val="22"/>
          <w:szCs w:val="22"/>
        </w:rPr>
      </w:pPr>
      <w:r>
        <w:rPr>
          <w:color w:val="000000"/>
          <w:sz w:val="22"/>
          <w:szCs w:val="22"/>
        </w:rPr>
        <w:t xml:space="preserve">Additional writing aids: </w:t>
      </w:r>
      <w:hyperlink r:id="rId9">
        <w:r w:rsidR="00240B3B">
          <w:rPr>
            <w:color w:val="1155CC"/>
            <w:sz w:val="22"/>
            <w:szCs w:val="22"/>
            <w:u w:val="single"/>
          </w:rPr>
          <w:t>Anti-Plagiarism Guide</w:t>
        </w:r>
      </w:hyperlink>
      <w:r>
        <w:rPr>
          <w:color w:val="000000"/>
          <w:sz w:val="22"/>
          <w:szCs w:val="22"/>
        </w:rPr>
        <w:t xml:space="preserve">, </w:t>
      </w:r>
      <w:hyperlink r:id="rId10">
        <w:r w:rsidR="00240B3B">
          <w:rPr>
            <w:color w:val="1155CC"/>
            <w:sz w:val="22"/>
            <w:szCs w:val="22"/>
            <w:u w:val="single"/>
          </w:rPr>
          <w:t>Academic Writing Guide</w:t>
        </w:r>
      </w:hyperlink>
      <w:r>
        <w:rPr>
          <w:color w:val="000000"/>
          <w:sz w:val="22"/>
          <w:szCs w:val="22"/>
        </w:rPr>
        <w:t xml:space="preserve">, </w:t>
      </w:r>
      <w:hyperlink r:id="rId11">
        <w:r w:rsidR="00240B3B">
          <w:rPr>
            <w:color w:val="1155CC"/>
            <w:sz w:val="22"/>
            <w:szCs w:val="22"/>
            <w:u w:val="single"/>
          </w:rPr>
          <w:t>Online Writing Resources</w:t>
        </w:r>
      </w:hyperlink>
      <w:r>
        <w:rPr>
          <w:color w:val="000000"/>
          <w:sz w:val="22"/>
          <w:szCs w:val="22"/>
        </w:rPr>
        <w:t>.</w:t>
      </w:r>
    </w:p>
    <w:p w:rsidR="00240B3B" w:rsidRDefault="00000000">
      <w:pPr>
        <w:numPr>
          <w:ilvl w:val="0"/>
          <w:numId w:val="1"/>
        </w:numPr>
        <w:spacing w:after="180"/>
        <w:ind w:left="763"/>
        <w:rPr>
          <w:rFonts w:ascii="Calibri" w:eastAsia="Calibri" w:hAnsi="Calibri" w:cs="Calibri"/>
          <w:color w:val="000000"/>
          <w:sz w:val="22"/>
          <w:szCs w:val="22"/>
        </w:rPr>
      </w:pPr>
      <w:r>
        <w:rPr>
          <w:color w:val="000000"/>
          <w:sz w:val="22"/>
          <w:szCs w:val="22"/>
        </w:rPr>
        <w:t xml:space="preserve">To avoid an increase in the Turnitin similarity score, </w:t>
      </w:r>
      <w:r>
        <w:rPr>
          <w:b/>
          <w:color w:val="000000"/>
          <w:sz w:val="22"/>
          <w:szCs w:val="22"/>
        </w:rPr>
        <w:t>DO NOT copy the questions</w:t>
      </w:r>
      <w:r>
        <w:rPr>
          <w:color w:val="000000"/>
          <w:sz w:val="22"/>
          <w:szCs w:val="22"/>
        </w:rPr>
        <w:t xml:space="preserve"> from the GWP assignment document.</w:t>
      </w:r>
    </w:p>
    <w:p w:rsidR="00240B3B" w:rsidRDefault="00000000">
      <w:pPr>
        <w:numPr>
          <w:ilvl w:val="0"/>
          <w:numId w:val="1"/>
        </w:numPr>
        <w:spacing w:after="60"/>
        <w:rPr>
          <w:color w:val="000000"/>
          <w:sz w:val="22"/>
          <w:szCs w:val="22"/>
        </w:rPr>
      </w:pPr>
      <w:r>
        <w:rPr>
          <w:color w:val="000000"/>
          <w:sz w:val="22"/>
          <w:szCs w:val="22"/>
        </w:rPr>
        <w:t>Submission format tips:</w:t>
      </w:r>
    </w:p>
    <w:p w:rsidR="00240B3B" w:rsidRDefault="00000000">
      <w:pPr>
        <w:numPr>
          <w:ilvl w:val="1"/>
          <w:numId w:val="1"/>
        </w:numPr>
        <w:spacing w:after="60"/>
        <w:rPr>
          <w:color w:val="000000"/>
          <w:sz w:val="22"/>
          <w:szCs w:val="22"/>
        </w:rPr>
      </w:pPr>
      <w:r>
        <w:rPr>
          <w:color w:val="000000"/>
          <w:sz w:val="22"/>
          <w:szCs w:val="22"/>
        </w:rPr>
        <w:t>Use the same font type and size and same format throughout your report. You can use Calibri 11, Arial 10, or Times 11.</w:t>
      </w:r>
    </w:p>
    <w:p w:rsidR="00240B3B" w:rsidRDefault="00000000">
      <w:pPr>
        <w:numPr>
          <w:ilvl w:val="1"/>
          <w:numId w:val="1"/>
        </w:numPr>
        <w:spacing w:after="60"/>
        <w:rPr>
          <w:color w:val="000000"/>
          <w:sz w:val="22"/>
          <w:szCs w:val="22"/>
        </w:rPr>
      </w:pPr>
      <w:r>
        <w:rPr>
          <w:color w:val="000000"/>
          <w:sz w:val="22"/>
          <w:szCs w:val="22"/>
        </w:rPr>
        <w:t>Do NOT split charts, graphs, and tables between two separate pages.</w:t>
      </w:r>
    </w:p>
    <w:p w:rsidR="00240B3B" w:rsidRDefault="00000000">
      <w:pPr>
        <w:numPr>
          <w:ilvl w:val="1"/>
          <w:numId w:val="1"/>
        </w:numPr>
        <w:spacing w:after="60"/>
        <w:rPr>
          <w:color w:val="000000"/>
          <w:sz w:val="22"/>
          <w:szCs w:val="22"/>
        </w:rPr>
      </w:pPr>
      <w:r>
        <w:rPr>
          <w:color w:val="000000"/>
          <w:sz w:val="22"/>
          <w:szCs w:val="22"/>
        </w:rPr>
        <w:t>Always include the axes labels and scales in your graphs as well as an explanation of how the data should be read.</w:t>
      </w:r>
    </w:p>
    <w:p w:rsidR="00240B3B" w:rsidRDefault="00000000">
      <w:pPr>
        <w:numPr>
          <w:ilvl w:val="0"/>
          <w:numId w:val="1"/>
        </w:numPr>
        <w:spacing w:before="180" w:after="180"/>
        <w:ind w:left="763"/>
        <w:rPr>
          <w:color w:val="000000"/>
          <w:sz w:val="22"/>
          <w:szCs w:val="22"/>
        </w:rPr>
      </w:pPr>
      <w:r>
        <w:rPr>
          <w:color w:val="000000"/>
          <w:sz w:val="22"/>
          <w:szCs w:val="22"/>
        </w:rPr>
        <w:t xml:space="preserve">Use the </w:t>
      </w:r>
      <w:hyperlink r:id="rId12">
        <w:r w:rsidR="00240B3B">
          <w:rPr>
            <w:color w:val="0563C1"/>
            <w:sz w:val="22"/>
            <w:szCs w:val="22"/>
            <w:u w:val="single"/>
          </w:rPr>
          <w:t>LIRN Library</w:t>
        </w:r>
      </w:hyperlink>
      <w:r>
        <w:rPr>
          <w:color w:val="000000"/>
          <w:sz w:val="22"/>
          <w:szCs w:val="22"/>
        </w:rPr>
        <w:t xml:space="preserve"> for your research. It can be accessed via the left navigation pane inside the WQU learning platform.</w:t>
      </w:r>
    </w:p>
    <w:p w:rsidR="00240B3B" w:rsidRDefault="00000000">
      <w:pPr>
        <w:numPr>
          <w:ilvl w:val="0"/>
          <w:numId w:val="1"/>
        </w:numPr>
        <w:spacing w:before="180" w:after="180"/>
        <w:ind w:left="763"/>
        <w:rPr>
          <w:color w:val="000000"/>
          <w:sz w:val="22"/>
          <w:szCs w:val="22"/>
        </w:rPr>
      </w:pPr>
      <w:r>
        <w:rPr>
          <w:color w:val="000000"/>
          <w:sz w:val="22"/>
          <w:szCs w:val="22"/>
        </w:rPr>
        <w:t>Carefully read</w:t>
      </w:r>
      <w:r>
        <w:t xml:space="preserve">  </w:t>
      </w:r>
      <w:hyperlink r:id="rId13">
        <w:r w:rsidR="00240B3B">
          <w:rPr>
            <w:b/>
            <w:color w:val="1155CC"/>
            <w:u w:val="single"/>
          </w:rPr>
          <w:t>Academic Policy on the use of AI</w:t>
        </w:r>
      </w:hyperlink>
      <w:r>
        <w:t xml:space="preserve"> explaining how the use of AI tools is restricted and regulated. Severe penalties apply for excessive and improper use of AI</w:t>
      </w:r>
    </w:p>
    <w:p w:rsidR="00240B3B" w:rsidRDefault="00240B3B">
      <w:pPr>
        <w:spacing w:after="180"/>
        <w:rPr>
          <w:color w:val="000000"/>
          <w:sz w:val="22"/>
          <w:szCs w:val="22"/>
        </w:rPr>
      </w:pPr>
    </w:p>
    <w:p w:rsidR="00240B3B" w:rsidRDefault="00000000">
      <w:pPr>
        <w:spacing w:after="180"/>
        <w:ind w:left="770"/>
        <w:rPr>
          <w:b/>
          <w:i/>
          <w:color w:val="000000"/>
          <w:sz w:val="22"/>
          <w:szCs w:val="22"/>
        </w:rPr>
      </w:pPr>
      <w:r>
        <w:rPr>
          <w:b/>
          <w:i/>
          <w:color w:val="000000"/>
          <w:sz w:val="22"/>
          <w:szCs w:val="22"/>
        </w:rPr>
        <w:t xml:space="preserve">The PDF file with your report must be uploaded separately from the zipped folder that includes any other types </w:t>
      </w:r>
      <w:proofErr w:type="gramStart"/>
      <w:r>
        <w:rPr>
          <w:b/>
          <w:i/>
          <w:color w:val="000000"/>
          <w:sz w:val="22"/>
          <w:szCs w:val="22"/>
        </w:rPr>
        <w:t>of  files</w:t>
      </w:r>
      <w:proofErr w:type="gramEnd"/>
      <w:r>
        <w:rPr>
          <w:b/>
          <w:i/>
          <w:color w:val="000000"/>
          <w:sz w:val="22"/>
          <w:szCs w:val="22"/>
        </w:rPr>
        <w:t>. This allows Turnitin to generate a similarity report.</w:t>
      </w:r>
    </w:p>
    <w:p w:rsidR="007C6E2A" w:rsidRDefault="007C6E2A">
      <w:pPr>
        <w:spacing w:after="180"/>
        <w:ind w:left="770"/>
        <w:rPr>
          <w:b/>
          <w:i/>
          <w:color w:val="000000"/>
          <w:sz w:val="22"/>
          <w:szCs w:val="22"/>
        </w:rPr>
      </w:pPr>
    </w:p>
    <w:p w:rsidR="00240B3B" w:rsidRDefault="00240B3B" w:rsidP="007C6E2A">
      <w:pPr>
        <w:spacing w:after="180"/>
      </w:pPr>
    </w:p>
    <w:p w:rsidR="007C6E2A" w:rsidRDefault="007C6E2A" w:rsidP="007C6E2A">
      <w:pPr>
        <w:pStyle w:val="Heading1"/>
      </w:pPr>
      <w:r>
        <w:t>Report</w:t>
      </w:r>
    </w:p>
    <w:p w:rsidR="007C6E2A" w:rsidRDefault="007C6E2A" w:rsidP="007C6E2A">
      <w:pPr>
        <w:pStyle w:val="Heading2"/>
      </w:pPr>
      <w:r>
        <w:t xml:space="preserve">1. </w:t>
      </w:r>
      <w:r w:rsidR="00C02C49">
        <w:t xml:space="preserve">TASK1: </w:t>
      </w:r>
      <w:r>
        <w:t>Data Quality</w:t>
      </w:r>
    </w:p>
    <w:p w:rsidR="007C6E2A" w:rsidRDefault="007C6E2A" w:rsidP="007C6E2A">
      <w:pPr>
        <w:pStyle w:val="Heading3"/>
      </w:pPr>
      <w:r>
        <w:t>a. Example of Poor Quality Structured Financial Data</w:t>
      </w: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Company_ID, Revenue, Q1_Profit, Q2-Profit, Q3 Profit, Q4_Profit, Year</w:t>
      </w: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ABC123, $2.5M, 450K, $512,000, 498000, missing, 2023</w:t>
      </w: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XYZ456, $3.7m, 780K, "in progress", $820,000, $792k, 22-23</w:t>
      </w: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LMN789, "$4,200,000", Unknown, $1.1M, -$250k, 1200000, FY2023</w:t>
      </w:r>
    </w:p>
    <w:p w:rsidR="007C6E2A" w:rsidRDefault="007C6E2A" w:rsidP="007C6E2A">
      <w:pPr>
        <w:pStyle w:val="HTMLPreformatted"/>
        <w:spacing w:before="120" w:after="120"/>
        <w:rPr>
          <w:rFonts w:ascii="Fira Code" w:hAnsi="Fira Code" w:cs="Fira Code"/>
          <w:color w:val="383A42"/>
        </w:rPr>
      </w:pPr>
      <w:r>
        <w:rPr>
          <w:rStyle w:val="HTMLCode"/>
          <w:rFonts w:ascii="Fira Code" w:hAnsi="Fira Code" w:cs="Fira Code"/>
          <w:color w:val="383A42"/>
        </w:rPr>
        <w:t>PQR321, 3250000, 620000, 680,000, , 710.5k, 2023</w:t>
      </w:r>
    </w:p>
    <w:p w:rsidR="007C6E2A" w:rsidRDefault="007C6E2A" w:rsidP="007C6E2A">
      <w:pPr>
        <w:pStyle w:val="Heading3"/>
        <w:rPr>
          <w:rFonts w:ascii="Times New Roman" w:hAnsi="Times New Roman" w:cs="Times New Roman"/>
          <w:color w:val="auto"/>
        </w:rPr>
      </w:pPr>
      <w:r>
        <w:t xml:space="preserve">b. Analysis of </w:t>
      </w:r>
      <w:proofErr w:type="gramStart"/>
      <w:r>
        <w:t>Poor Quality</w:t>
      </w:r>
      <w:proofErr w:type="gramEnd"/>
      <w:r>
        <w:t xml:space="preserve"> Structured Data</w:t>
      </w:r>
    </w:p>
    <w:p w:rsidR="007C6E2A" w:rsidRDefault="007C6E2A" w:rsidP="007C6E2A">
      <w:pPr>
        <w:pStyle w:val="whitespace-pre-wrap"/>
      </w:pPr>
      <w:r>
        <w:t>The structured financial data example fails to meet good quality standards in several fundamental ways. First, there is a complete lack of consistency in formatting, with monetary values represented as different units (millions vs. thousands) and using inconsistent notation ($, k, m, missing commas). Second, the data exhibits completeness issues with missing values indicated in different ways ("missing", empty cells) and ambiguous entries like "in progress" or "Unknown" that cannot be used for calculations. Third, the accuracy is compromised by inconsistent date formats (2023, 22-23, FY2023) making it impossible to perform reliable year-over-year comparisons or temporal analysis.</w:t>
      </w:r>
    </w:p>
    <w:p w:rsidR="007C6E2A" w:rsidRDefault="007C6E2A" w:rsidP="007C6E2A">
      <w:pPr>
        <w:pStyle w:val="Heading3"/>
      </w:pPr>
      <w:r>
        <w:t>c. Example of Poor Quality Unstructured Financial Data</w:t>
      </w: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Financial Analyst Report - Acme Corp</w:t>
      </w:r>
    </w:p>
    <w:p w:rsidR="007C6E2A" w:rsidRDefault="007C6E2A" w:rsidP="007C6E2A">
      <w:pPr>
        <w:pStyle w:val="HTMLPreformatted"/>
        <w:spacing w:before="120" w:after="120"/>
        <w:rPr>
          <w:rStyle w:val="HTMLCode"/>
          <w:rFonts w:ascii="Fira Code" w:hAnsi="Fira Code" w:cs="Fira Code"/>
          <w:color w:val="383A42"/>
        </w:rPr>
      </w:pP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Q3 performance was good, better than last time. Revenue increased but not as much as competitors. Some concerns about cash flow but overall the outlook seems positive-ish. Expenses went up due to that thing that happened with the suppliers. Management mentioned something about new markets during the call. I think the stock might go up. The P/E ratio is reasonable compared to industry standard. There were some regulatory issues pending; I'll check on those later.</w:t>
      </w:r>
    </w:p>
    <w:p w:rsidR="007C6E2A" w:rsidRDefault="007C6E2A" w:rsidP="007C6E2A">
      <w:pPr>
        <w:pStyle w:val="HTMLPreformatted"/>
        <w:spacing w:before="120" w:after="120"/>
        <w:rPr>
          <w:rStyle w:val="HTMLCode"/>
          <w:rFonts w:ascii="Fira Code" w:hAnsi="Fira Code" w:cs="Fira Code"/>
          <w:color w:val="383A42"/>
        </w:rPr>
      </w:pPr>
    </w:p>
    <w:p w:rsidR="007C6E2A" w:rsidRDefault="007C6E2A" w:rsidP="007C6E2A">
      <w:pPr>
        <w:pStyle w:val="HTMLPreformatted"/>
        <w:spacing w:before="120" w:after="120"/>
        <w:rPr>
          <w:rStyle w:val="HTMLCode"/>
          <w:rFonts w:ascii="Fira Code" w:hAnsi="Fira Code" w:cs="Fira Code"/>
          <w:color w:val="383A42"/>
        </w:rPr>
      </w:pPr>
      <w:r>
        <w:rPr>
          <w:rStyle w:val="HTMLCode"/>
          <w:rFonts w:ascii="Fira Code" w:hAnsi="Fira Code" w:cs="Fira Code"/>
          <w:color w:val="383A42"/>
        </w:rPr>
        <w:t>Recommendation: Consider buying, but maybe wait for Q4 results.</w:t>
      </w:r>
    </w:p>
    <w:p w:rsidR="007C6E2A" w:rsidRDefault="007C6E2A" w:rsidP="007C6E2A">
      <w:pPr>
        <w:pStyle w:val="HTMLPreformatted"/>
        <w:spacing w:before="120" w:after="120"/>
        <w:rPr>
          <w:rStyle w:val="HTMLCode"/>
          <w:rFonts w:ascii="Fira Code" w:hAnsi="Fira Code" w:cs="Fira Code"/>
          <w:color w:val="383A42"/>
        </w:rPr>
      </w:pPr>
    </w:p>
    <w:p w:rsidR="007C6E2A" w:rsidRDefault="007C6E2A" w:rsidP="007C6E2A">
      <w:pPr>
        <w:pStyle w:val="HTMLPreformatted"/>
        <w:spacing w:before="120" w:after="120"/>
        <w:rPr>
          <w:rFonts w:ascii="Fira Code" w:hAnsi="Fira Code" w:cs="Fira Code"/>
          <w:color w:val="383A42"/>
        </w:rPr>
      </w:pPr>
      <w:r>
        <w:rPr>
          <w:rStyle w:val="HTMLCode"/>
          <w:rFonts w:ascii="Fira Code" w:hAnsi="Fira Code" w:cs="Fira Code"/>
          <w:color w:val="383A42"/>
        </w:rPr>
        <w:t>Note to self: Double-check the numbers from that PDF when I get a chance.</w:t>
      </w:r>
    </w:p>
    <w:p w:rsidR="007C6E2A" w:rsidRDefault="007C6E2A" w:rsidP="007C6E2A">
      <w:pPr>
        <w:pStyle w:val="Heading3"/>
        <w:rPr>
          <w:rFonts w:ascii="Times New Roman" w:hAnsi="Times New Roman" w:cs="Times New Roman"/>
          <w:color w:val="auto"/>
        </w:rPr>
      </w:pPr>
      <w:r>
        <w:lastRenderedPageBreak/>
        <w:t xml:space="preserve">d. Analysis of </w:t>
      </w:r>
      <w:proofErr w:type="gramStart"/>
      <w:r>
        <w:t>Poor Quality</w:t>
      </w:r>
      <w:proofErr w:type="gramEnd"/>
      <w:r>
        <w:t xml:space="preserve"> Unstructured Data</w:t>
      </w:r>
    </w:p>
    <w:p w:rsidR="007C6E2A" w:rsidRDefault="007C6E2A" w:rsidP="007C6E2A">
      <w:pPr>
        <w:pStyle w:val="whitespace-pre-wrap"/>
      </w:pPr>
      <w:r>
        <w:t>This unstructured financial analysis fails to meet good quality standards through several critical deficiencies. The report lacks specificity and precision, using vague qualitative descriptors ("good," "better than last time," "positive-ish") without providing any concrete metrics or quantitative data to support these assessments. There is a serious problem with completeness, as evidenced by unfinished analysis, undefined references ("that thing"), and explicitly mentioned missing information ("double-check the numbers"). The reliability of the data is compromised by subjective, hedging language ("I think," "might go up," "maybe wait") and inconsistent professional standards, resulting in a document that would be unsuitable for making informed investment decisions or conducting meaningful financial analysis.</w:t>
      </w:r>
    </w:p>
    <w:p w:rsidR="007C6E2A" w:rsidRDefault="007C6E2A" w:rsidP="007C6E2A">
      <w:pPr>
        <w:pStyle w:val="whitespace-pre-wrap"/>
        <w:rPr>
          <w:lang w:val="en-US"/>
        </w:rPr>
      </w:pPr>
    </w:p>
    <w:p w:rsidR="00C02C49" w:rsidRDefault="00C02C49" w:rsidP="00C02C49">
      <w:pPr>
        <w:pStyle w:val="Heading1"/>
      </w:pPr>
      <w:r>
        <w:rPr>
          <w:rFonts w:hint="eastAsia"/>
        </w:rPr>
        <w:t>TASK2</w:t>
      </w:r>
      <w:r>
        <w:rPr>
          <w:lang w:val="en-US"/>
        </w:rPr>
        <w:t xml:space="preserve">: </w:t>
      </w:r>
      <w:r>
        <w:t>Yield Curve Modeling: Nelson-Siegel vs. Cubic Spline</w:t>
      </w:r>
    </w:p>
    <w:p w:rsidR="00C02C49" w:rsidRDefault="00C02C49" w:rsidP="00C02C49">
      <w:pPr>
        <w:pStyle w:val="Heading2"/>
      </w:pPr>
      <w:r>
        <w:t>1. Introduction</w:t>
      </w:r>
    </w:p>
    <w:p w:rsidR="00C02C49" w:rsidRDefault="00C02C49" w:rsidP="00C02C49">
      <w:pPr>
        <w:pStyle w:val="NormalWeb"/>
      </w:pPr>
      <w:r>
        <w:t>This report presents a comparative analysis of two yield curve modeling techniques—Nelson-Siegel and Cubic Spline—applied to Chinese government securities. Yield curves are fundamental tools in finance that depict the relationship between interest rates and time to maturity. Accurate modeling of these curves is essential for pricing fixed-income securities, managing risk, and informing monetary policy decisions.</w:t>
      </w:r>
    </w:p>
    <w:p w:rsidR="00C02C49" w:rsidRDefault="00C02C49" w:rsidP="00C02C49">
      <w:pPr>
        <w:pStyle w:val="Heading2"/>
      </w:pPr>
      <w:r>
        <w:t>2. Data Analysis</w:t>
      </w:r>
    </w:p>
    <w:p w:rsidR="00C02C49" w:rsidRDefault="00C02C49" w:rsidP="00C02C49">
      <w:pPr>
        <w:pStyle w:val="NormalWeb"/>
      </w:pPr>
      <w:r>
        <w:t>For this analysis, we used Chinese government bond yield data from April 11, 2025, across eight key maturities: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gridCol w:w="1021"/>
      </w:tblGrid>
      <w:tr w:rsidR="00C02C49" w:rsidTr="00C02C49">
        <w:trPr>
          <w:tblHeader/>
          <w:tblCellSpacing w:w="15" w:type="dxa"/>
        </w:trPr>
        <w:tc>
          <w:tcPr>
            <w:tcW w:w="0" w:type="auto"/>
            <w:vAlign w:val="center"/>
            <w:hideMark/>
          </w:tcPr>
          <w:p w:rsidR="00C02C49" w:rsidRDefault="00C02C49">
            <w:pPr>
              <w:jc w:val="center"/>
              <w:rPr>
                <w:b/>
                <w:bCs/>
              </w:rPr>
            </w:pPr>
            <w:r>
              <w:rPr>
                <w:b/>
                <w:bCs/>
              </w:rPr>
              <w:t>Maturity</w:t>
            </w:r>
          </w:p>
        </w:tc>
        <w:tc>
          <w:tcPr>
            <w:tcW w:w="0" w:type="auto"/>
            <w:vAlign w:val="center"/>
            <w:hideMark/>
          </w:tcPr>
          <w:p w:rsidR="00C02C49" w:rsidRDefault="00C02C49">
            <w:pPr>
              <w:jc w:val="center"/>
              <w:rPr>
                <w:b/>
                <w:bCs/>
              </w:rPr>
            </w:pPr>
            <w:r>
              <w:rPr>
                <w:b/>
                <w:bCs/>
              </w:rPr>
              <w:t>Yield (%)</w:t>
            </w:r>
          </w:p>
        </w:tc>
      </w:tr>
      <w:tr w:rsidR="00C02C49" w:rsidTr="00C02C49">
        <w:trPr>
          <w:tblCellSpacing w:w="15" w:type="dxa"/>
        </w:trPr>
        <w:tc>
          <w:tcPr>
            <w:tcW w:w="0" w:type="auto"/>
            <w:vAlign w:val="center"/>
            <w:hideMark/>
          </w:tcPr>
          <w:p w:rsidR="00C02C49" w:rsidRDefault="00C02C49">
            <w:r>
              <w:t>3M</w:t>
            </w:r>
          </w:p>
        </w:tc>
        <w:tc>
          <w:tcPr>
            <w:tcW w:w="0" w:type="auto"/>
            <w:vAlign w:val="center"/>
            <w:hideMark/>
          </w:tcPr>
          <w:p w:rsidR="00C02C49" w:rsidRDefault="00C02C49">
            <w:r>
              <w:t>1.3800</w:t>
            </w:r>
          </w:p>
        </w:tc>
      </w:tr>
      <w:tr w:rsidR="00C02C49" w:rsidTr="00C02C49">
        <w:trPr>
          <w:tblCellSpacing w:w="15" w:type="dxa"/>
        </w:trPr>
        <w:tc>
          <w:tcPr>
            <w:tcW w:w="0" w:type="auto"/>
            <w:vAlign w:val="center"/>
            <w:hideMark/>
          </w:tcPr>
          <w:p w:rsidR="00C02C49" w:rsidRDefault="00C02C49">
            <w:r>
              <w:t>6M</w:t>
            </w:r>
          </w:p>
        </w:tc>
        <w:tc>
          <w:tcPr>
            <w:tcW w:w="0" w:type="auto"/>
            <w:vAlign w:val="center"/>
            <w:hideMark/>
          </w:tcPr>
          <w:p w:rsidR="00C02C49" w:rsidRDefault="00C02C49">
            <w:r>
              <w:t>1.3816</w:t>
            </w:r>
          </w:p>
        </w:tc>
      </w:tr>
      <w:tr w:rsidR="00C02C49" w:rsidTr="00C02C49">
        <w:trPr>
          <w:tblCellSpacing w:w="15" w:type="dxa"/>
        </w:trPr>
        <w:tc>
          <w:tcPr>
            <w:tcW w:w="0" w:type="auto"/>
            <w:vAlign w:val="center"/>
            <w:hideMark/>
          </w:tcPr>
          <w:p w:rsidR="00C02C49" w:rsidRDefault="00C02C49">
            <w:r>
              <w:t>1Y</w:t>
            </w:r>
          </w:p>
        </w:tc>
        <w:tc>
          <w:tcPr>
            <w:tcW w:w="0" w:type="auto"/>
            <w:vAlign w:val="center"/>
            <w:hideMark/>
          </w:tcPr>
          <w:p w:rsidR="00C02C49" w:rsidRDefault="00C02C49">
            <w:r>
              <w:t>1.3978</w:t>
            </w:r>
          </w:p>
        </w:tc>
      </w:tr>
      <w:tr w:rsidR="00C02C49" w:rsidTr="00C02C49">
        <w:trPr>
          <w:tblCellSpacing w:w="15" w:type="dxa"/>
        </w:trPr>
        <w:tc>
          <w:tcPr>
            <w:tcW w:w="0" w:type="auto"/>
            <w:vAlign w:val="center"/>
            <w:hideMark/>
          </w:tcPr>
          <w:p w:rsidR="00C02C49" w:rsidRDefault="00C02C49">
            <w:r>
              <w:t>3Y</w:t>
            </w:r>
          </w:p>
        </w:tc>
        <w:tc>
          <w:tcPr>
            <w:tcW w:w="0" w:type="auto"/>
            <w:vAlign w:val="center"/>
            <w:hideMark/>
          </w:tcPr>
          <w:p w:rsidR="00C02C49" w:rsidRDefault="00C02C49">
            <w:r>
              <w:t>1.4315</w:t>
            </w:r>
          </w:p>
        </w:tc>
      </w:tr>
      <w:tr w:rsidR="00C02C49" w:rsidTr="00C02C49">
        <w:trPr>
          <w:tblCellSpacing w:w="15" w:type="dxa"/>
        </w:trPr>
        <w:tc>
          <w:tcPr>
            <w:tcW w:w="0" w:type="auto"/>
            <w:vAlign w:val="center"/>
            <w:hideMark/>
          </w:tcPr>
          <w:p w:rsidR="00C02C49" w:rsidRDefault="00C02C49">
            <w:r>
              <w:t>5Y</w:t>
            </w:r>
          </w:p>
        </w:tc>
        <w:tc>
          <w:tcPr>
            <w:tcW w:w="0" w:type="auto"/>
            <w:vAlign w:val="center"/>
            <w:hideMark/>
          </w:tcPr>
          <w:p w:rsidR="00C02C49" w:rsidRDefault="00C02C49">
            <w:r>
              <w:t>1.4895</w:t>
            </w:r>
          </w:p>
        </w:tc>
      </w:tr>
      <w:tr w:rsidR="00C02C49" w:rsidTr="00C02C49">
        <w:trPr>
          <w:tblCellSpacing w:w="15" w:type="dxa"/>
        </w:trPr>
        <w:tc>
          <w:tcPr>
            <w:tcW w:w="0" w:type="auto"/>
            <w:vAlign w:val="center"/>
            <w:hideMark/>
          </w:tcPr>
          <w:p w:rsidR="00C02C49" w:rsidRDefault="00C02C49">
            <w:r>
              <w:t>7Y</w:t>
            </w:r>
          </w:p>
        </w:tc>
        <w:tc>
          <w:tcPr>
            <w:tcW w:w="0" w:type="auto"/>
            <w:vAlign w:val="center"/>
            <w:hideMark/>
          </w:tcPr>
          <w:p w:rsidR="00C02C49" w:rsidRDefault="00C02C49">
            <w:r>
              <w:t>1.6024</w:t>
            </w:r>
          </w:p>
        </w:tc>
      </w:tr>
      <w:tr w:rsidR="00C02C49" w:rsidTr="00C02C49">
        <w:trPr>
          <w:tblCellSpacing w:w="15" w:type="dxa"/>
        </w:trPr>
        <w:tc>
          <w:tcPr>
            <w:tcW w:w="0" w:type="auto"/>
            <w:vAlign w:val="center"/>
            <w:hideMark/>
          </w:tcPr>
          <w:p w:rsidR="00C02C49" w:rsidRDefault="00C02C49">
            <w:r>
              <w:t>10Y</w:t>
            </w:r>
          </w:p>
        </w:tc>
        <w:tc>
          <w:tcPr>
            <w:tcW w:w="0" w:type="auto"/>
            <w:vAlign w:val="center"/>
            <w:hideMark/>
          </w:tcPr>
          <w:p w:rsidR="00C02C49" w:rsidRDefault="00C02C49">
            <w:r>
              <w:t>1.6568</w:t>
            </w:r>
          </w:p>
        </w:tc>
      </w:tr>
      <w:tr w:rsidR="00C02C49" w:rsidTr="00C02C49">
        <w:trPr>
          <w:tblCellSpacing w:w="15" w:type="dxa"/>
        </w:trPr>
        <w:tc>
          <w:tcPr>
            <w:tcW w:w="0" w:type="auto"/>
            <w:vAlign w:val="center"/>
            <w:hideMark/>
          </w:tcPr>
          <w:p w:rsidR="00C02C49" w:rsidRDefault="00C02C49">
            <w:r>
              <w:t>30Y</w:t>
            </w:r>
          </w:p>
        </w:tc>
        <w:tc>
          <w:tcPr>
            <w:tcW w:w="0" w:type="auto"/>
            <w:vAlign w:val="center"/>
            <w:hideMark/>
          </w:tcPr>
          <w:p w:rsidR="00C02C49" w:rsidRDefault="00C02C49">
            <w:r>
              <w:t>1.8627</w:t>
            </w:r>
          </w:p>
        </w:tc>
      </w:tr>
    </w:tbl>
    <w:p w:rsidR="00C02C49" w:rsidRDefault="00C02C49" w:rsidP="00C02C49">
      <w:pPr>
        <w:pStyle w:val="NormalWeb"/>
      </w:pPr>
      <w:r>
        <w:lastRenderedPageBreak/>
        <w:t>The data reveals a consistently upward-sloping yield curve, which is typical in normal economic environments where investors demand higher yields for longer maturities to compensate for increased risk. The curve shows a gradual increase in yields from short to medium-term maturities, with a more pronounced rise in the long-term segment. This shape suggests market expectations of stable near-term economic conditions with potential for higher growth or inflation in the distant future.</w:t>
      </w:r>
    </w:p>
    <w:p w:rsidR="00C02C49" w:rsidRDefault="00C02C49" w:rsidP="00C02C49">
      <w:pPr>
        <w:pStyle w:val="Heading2"/>
      </w:pPr>
      <w:r>
        <w:t>3. Nelson-Siegel Model</w:t>
      </w:r>
    </w:p>
    <w:p w:rsidR="00C02C49" w:rsidRDefault="00C02C49" w:rsidP="00C02C49">
      <w:pPr>
        <w:pStyle w:val="Heading3"/>
      </w:pPr>
      <w:r>
        <w:t>Model Specification</w:t>
      </w:r>
    </w:p>
    <w:p w:rsidR="00C02C49" w:rsidRDefault="00C02C49" w:rsidP="00C02C49">
      <w:pPr>
        <w:pStyle w:val="NormalWeb"/>
      </w:pPr>
      <w:r>
        <w:t>The Nelson-Siegel model is a parametric approach that describes the yield curve using an exponential function with four parameters:</w:t>
      </w:r>
    </w:p>
    <w:p w:rsidR="00C02C49" w:rsidRDefault="00C02C49" w:rsidP="00C02C49">
      <w:pPr>
        <w:pStyle w:val="NormalWeb"/>
      </w:pPr>
      <w:r>
        <w:t>y(t) = β₀ + β₁[(1-e^(-t/τ))/(t/τ)] + β₂[(1-e^(-t/τ))/(t/τ) - e^(-t/τ)]</w:t>
      </w:r>
    </w:p>
    <w:p w:rsidR="00C02C49" w:rsidRDefault="00C02C49" w:rsidP="00C02C49">
      <w:pPr>
        <w:pStyle w:val="NormalWeb"/>
      </w:pPr>
      <w:r>
        <w:t>Where:</w:t>
      </w:r>
    </w:p>
    <w:p w:rsidR="00C02C49" w:rsidRDefault="00C02C49" w:rsidP="00C02C49">
      <w:pPr>
        <w:numPr>
          <w:ilvl w:val="0"/>
          <w:numId w:val="16"/>
        </w:numPr>
        <w:spacing w:before="100" w:beforeAutospacing="1" w:after="100" w:afterAutospacing="1" w:line="240" w:lineRule="auto"/>
      </w:pPr>
      <w:r>
        <w:t>y(t) is the yield at maturity t</w:t>
      </w:r>
    </w:p>
    <w:p w:rsidR="00C02C49" w:rsidRDefault="00C02C49" w:rsidP="00C02C49">
      <w:pPr>
        <w:numPr>
          <w:ilvl w:val="0"/>
          <w:numId w:val="16"/>
        </w:numPr>
        <w:spacing w:before="100" w:beforeAutospacing="1" w:after="100" w:afterAutospacing="1" w:line="240" w:lineRule="auto"/>
      </w:pPr>
      <w:r>
        <w:t>β₀ represents the long-term interest rate (level)</w:t>
      </w:r>
    </w:p>
    <w:p w:rsidR="00C02C49" w:rsidRDefault="00C02C49" w:rsidP="00C02C49">
      <w:pPr>
        <w:numPr>
          <w:ilvl w:val="0"/>
          <w:numId w:val="16"/>
        </w:numPr>
        <w:spacing w:before="100" w:beforeAutospacing="1" w:after="100" w:afterAutospacing="1" w:line="240" w:lineRule="auto"/>
      </w:pPr>
      <w:r>
        <w:t>β₁ represents the short-term component (slope)</w:t>
      </w:r>
    </w:p>
    <w:p w:rsidR="00C02C49" w:rsidRDefault="00C02C49" w:rsidP="00C02C49">
      <w:pPr>
        <w:numPr>
          <w:ilvl w:val="0"/>
          <w:numId w:val="16"/>
        </w:numPr>
        <w:spacing w:before="100" w:beforeAutospacing="1" w:after="100" w:afterAutospacing="1" w:line="240" w:lineRule="auto"/>
      </w:pPr>
      <w:r>
        <w:t>β₂ captures the medium-term component (curvature)</w:t>
      </w:r>
    </w:p>
    <w:p w:rsidR="00C02C49" w:rsidRDefault="00C02C49" w:rsidP="00C02C49">
      <w:pPr>
        <w:numPr>
          <w:ilvl w:val="0"/>
          <w:numId w:val="16"/>
        </w:numPr>
        <w:spacing w:before="100" w:beforeAutospacing="1" w:after="100" w:afterAutospacing="1" w:line="240" w:lineRule="auto"/>
      </w:pPr>
      <w:r>
        <w:t>τ is a time decay factor controlling the rate at which components decay</w:t>
      </w:r>
    </w:p>
    <w:p w:rsidR="00C02C49" w:rsidRDefault="00C02C49" w:rsidP="00C02C49">
      <w:pPr>
        <w:pStyle w:val="Heading3"/>
      </w:pPr>
      <w:r>
        <w:t>Parameter Estimates</w:t>
      </w:r>
    </w:p>
    <w:p w:rsidR="00C02C49" w:rsidRDefault="00C02C49" w:rsidP="00C02C49">
      <w:pPr>
        <w:pStyle w:val="NormalWeb"/>
      </w:pPr>
      <w:r>
        <w:t>Based on our fitting process, we obtained the following parameter values: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1"/>
        <w:gridCol w:w="885"/>
        <w:gridCol w:w="4038"/>
      </w:tblGrid>
      <w:tr w:rsidR="00C02C49" w:rsidTr="00C02C49">
        <w:trPr>
          <w:tblHeader/>
          <w:tblCellSpacing w:w="15" w:type="dxa"/>
        </w:trPr>
        <w:tc>
          <w:tcPr>
            <w:tcW w:w="0" w:type="auto"/>
            <w:vAlign w:val="center"/>
            <w:hideMark/>
          </w:tcPr>
          <w:p w:rsidR="00C02C49" w:rsidRDefault="00C02C49">
            <w:pPr>
              <w:jc w:val="center"/>
              <w:rPr>
                <w:b/>
                <w:bCs/>
              </w:rPr>
            </w:pPr>
            <w:r>
              <w:rPr>
                <w:b/>
                <w:bCs/>
              </w:rPr>
              <w:t>Parameter</w:t>
            </w:r>
          </w:p>
        </w:tc>
        <w:tc>
          <w:tcPr>
            <w:tcW w:w="0" w:type="auto"/>
            <w:vAlign w:val="center"/>
            <w:hideMark/>
          </w:tcPr>
          <w:p w:rsidR="00C02C49" w:rsidRDefault="00C02C49">
            <w:pPr>
              <w:jc w:val="center"/>
              <w:rPr>
                <w:b/>
                <w:bCs/>
              </w:rPr>
            </w:pPr>
            <w:r>
              <w:rPr>
                <w:b/>
                <w:bCs/>
              </w:rPr>
              <w:t>Value</w:t>
            </w:r>
          </w:p>
        </w:tc>
        <w:tc>
          <w:tcPr>
            <w:tcW w:w="0" w:type="auto"/>
            <w:vAlign w:val="center"/>
            <w:hideMark/>
          </w:tcPr>
          <w:p w:rsidR="00C02C49" w:rsidRDefault="00C02C49">
            <w:pPr>
              <w:jc w:val="center"/>
              <w:rPr>
                <w:b/>
                <w:bCs/>
              </w:rPr>
            </w:pPr>
            <w:r>
              <w:rPr>
                <w:b/>
                <w:bCs/>
              </w:rPr>
              <w:t>Interpretation</w:t>
            </w:r>
          </w:p>
        </w:tc>
      </w:tr>
      <w:tr w:rsidR="00C02C49" w:rsidTr="00C02C49">
        <w:trPr>
          <w:tblCellSpacing w:w="15" w:type="dxa"/>
        </w:trPr>
        <w:tc>
          <w:tcPr>
            <w:tcW w:w="0" w:type="auto"/>
            <w:vAlign w:val="center"/>
            <w:hideMark/>
          </w:tcPr>
          <w:p w:rsidR="00C02C49" w:rsidRDefault="00C02C49">
            <w:r>
              <w:t>β₀</w:t>
            </w:r>
          </w:p>
        </w:tc>
        <w:tc>
          <w:tcPr>
            <w:tcW w:w="0" w:type="auto"/>
            <w:vAlign w:val="center"/>
            <w:hideMark/>
          </w:tcPr>
          <w:p w:rsidR="00C02C49" w:rsidRDefault="00C02C49">
            <w:r>
              <w:t>1.9729</w:t>
            </w:r>
          </w:p>
        </w:tc>
        <w:tc>
          <w:tcPr>
            <w:tcW w:w="0" w:type="auto"/>
            <w:vAlign w:val="center"/>
            <w:hideMark/>
          </w:tcPr>
          <w:p w:rsidR="00C02C49" w:rsidRDefault="00C02C49">
            <w:r>
              <w:t>Long-term interest rate (level)</w:t>
            </w:r>
          </w:p>
        </w:tc>
      </w:tr>
      <w:tr w:rsidR="00C02C49" w:rsidTr="00C02C49">
        <w:trPr>
          <w:tblCellSpacing w:w="15" w:type="dxa"/>
        </w:trPr>
        <w:tc>
          <w:tcPr>
            <w:tcW w:w="0" w:type="auto"/>
            <w:vAlign w:val="center"/>
            <w:hideMark/>
          </w:tcPr>
          <w:p w:rsidR="00C02C49" w:rsidRDefault="00C02C49">
            <w:r>
              <w:t>β₁</w:t>
            </w:r>
          </w:p>
        </w:tc>
        <w:tc>
          <w:tcPr>
            <w:tcW w:w="0" w:type="auto"/>
            <w:vAlign w:val="center"/>
            <w:hideMark/>
          </w:tcPr>
          <w:p w:rsidR="00C02C49" w:rsidRDefault="00C02C49">
            <w:r>
              <w:t>-0.5831</w:t>
            </w:r>
          </w:p>
        </w:tc>
        <w:tc>
          <w:tcPr>
            <w:tcW w:w="0" w:type="auto"/>
            <w:vAlign w:val="center"/>
            <w:hideMark/>
          </w:tcPr>
          <w:p w:rsidR="00C02C49" w:rsidRDefault="00C02C49">
            <w:r>
              <w:t>Short-term component (slope)</w:t>
            </w:r>
          </w:p>
        </w:tc>
      </w:tr>
      <w:tr w:rsidR="00C02C49" w:rsidTr="00C02C49">
        <w:trPr>
          <w:tblCellSpacing w:w="15" w:type="dxa"/>
        </w:trPr>
        <w:tc>
          <w:tcPr>
            <w:tcW w:w="0" w:type="auto"/>
            <w:vAlign w:val="center"/>
            <w:hideMark/>
          </w:tcPr>
          <w:p w:rsidR="00C02C49" w:rsidRDefault="00C02C49">
            <w:r>
              <w:t>β₂</w:t>
            </w:r>
          </w:p>
        </w:tc>
        <w:tc>
          <w:tcPr>
            <w:tcW w:w="0" w:type="auto"/>
            <w:vAlign w:val="center"/>
            <w:hideMark/>
          </w:tcPr>
          <w:p w:rsidR="00C02C49" w:rsidRDefault="00C02C49">
            <w:r>
              <w:t>-0.6955</w:t>
            </w:r>
          </w:p>
        </w:tc>
        <w:tc>
          <w:tcPr>
            <w:tcW w:w="0" w:type="auto"/>
            <w:vAlign w:val="center"/>
            <w:hideMark/>
          </w:tcPr>
          <w:p w:rsidR="00C02C49" w:rsidRDefault="00C02C49">
            <w:r>
              <w:t>Medium-term component (curvature)</w:t>
            </w:r>
          </w:p>
        </w:tc>
      </w:tr>
      <w:tr w:rsidR="00C02C49" w:rsidTr="00C02C49">
        <w:trPr>
          <w:tblCellSpacing w:w="15" w:type="dxa"/>
        </w:trPr>
        <w:tc>
          <w:tcPr>
            <w:tcW w:w="0" w:type="auto"/>
            <w:vAlign w:val="center"/>
            <w:hideMark/>
          </w:tcPr>
          <w:p w:rsidR="00C02C49" w:rsidRDefault="00C02C49">
            <w:r>
              <w:t>τ</w:t>
            </w:r>
          </w:p>
        </w:tc>
        <w:tc>
          <w:tcPr>
            <w:tcW w:w="0" w:type="auto"/>
            <w:vAlign w:val="center"/>
            <w:hideMark/>
          </w:tcPr>
          <w:p w:rsidR="00C02C49" w:rsidRDefault="00C02C49">
            <w:r>
              <w:t>2.5815</w:t>
            </w:r>
          </w:p>
        </w:tc>
        <w:tc>
          <w:tcPr>
            <w:tcW w:w="0" w:type="auto"/>
            <w:vAlign w:val="center"/>
            <w:hideMark/>
          </w:tcPr>
          <w:p w:rsidR="00C02C49" w:rsidRDefault="00C02C49">
            <w:r>
              <w:t>Decay factor</w:t>
            </w:r>
          </w:p>
        </w:tc>
      </w:tr>
    </w:tbl>
    <w:p w:rsidR="00C02C49" w:rsidRDefault="00C02C49" w:rsidP="00C02C49">
      <w:pPr>
        <w:pStyle w:val="Heading3"/>
      </w:pPr>
      <w:r>
        <w:t>Parameter Interpretation</w:t>
      </w:r>
    </w:p>
    <w:p w:rsidR="00C02C49" w:rsidRDefault="00C02C49" w:rsidP="00C02C49">
      <w:pPr>
        <w:pStyle w:val="NormalWeb"/>
      </w:pPr>
      <w:r>
        <w:t>The parameter values provide meaningful economic insights into the current Chinese bond market:</w:t>
      </w:r>
    </w:p>
    <w:p w:rsidR="00C02C49" w:rsidRDefault="00C02C49" w:rsidP="00C02C49">
      <w:pPr>
        <w:pStyle w:val="NormalWeb"/>
        <w:numPr>
          <w:ilvl w:val="0"/>
          <w:numId w:val="17"/>
        </w:numPr>
      </w:pPr>
      <w:r>
        <w:rPr>
          <w:rStyle w:val="Strong"/>
        </w:rPr>
        <w:t>β₀ (1.9729)</w:t>
      </w:r>
      <w:r>
        <w:t>: This represents the long-term level of interest rates, suggesting that as maturity approaches infinity, yields would converge to approximately 1.97%. This is slightly higher than the 30-year yield (1.86%), indicating the model anticipates rates to eventually stabilize above current long-term levels.</w:t>
      </w:r>
    </w:p>
    <w:p w:rsidR="00C02C49" w:rsidRDefault="00C02C49" w:rsidP="00C02C49">
      <w:pPr>
        <w:pStyle w:val="NormalWeb"/>
        <w:numPr>
          <w:ilvl w:val="0"/>
          <w:numId w:val="17"/>
        </w:numPr>
      </w:pPr>
      <w:r>
        <w:rPr>
          <w:rStyle w:val="Strong"/>
        </w:rPr>
        <w:lastRenderedPageBreak/>
        <w:t>β₁ (-0.5831)</w:t>
      </w:r>
      <w:r>
        <w:t>: The negative value confirms an upward-sloping yield curve. This parameter represents the difference between short and long-term rates. The negative value indicates that short-term rates are lower than long-term rates, which is consistent with normal economic expectations.</w:t>
      </w:r>
    </w:p>
    <w:p w:rsidR="00C02C49" w:rsidRDefault="00C02C49" w:rsidP="00C02C49">
      <w:pPr>
        <w:pStyle w:val="NormalWeb"/>
        <w:numPr>
          <w:ilvl w:val="0"/>
          <w:numId w:val="17"/>
        </w:numPr>
      </w:pPr>
      <w:r>
        <w:rPr>
          <w:rStyle w:val="Strong"/>
        </w:rPr>
        <w:t>β₂ (-0.6955)</w:t>
      </w:r>
      <w:r>
        <w:t>: This negative value influences the medium-term component of the yield curve, creating a slight hump in the curve. The negative value suggests that medium-term yields rise less steeply than what would be predicted by a simple short-to-long term transition.</w:t>
      </w:r>
    </w:p>
    <w:p w:rsidR="00C02C49" w:rsidRDefault="00C02C49" w:rsidP="00C02C49">
      <w:pPr>
        <w:pStyle w:val="NormalWeb"/>
        <w:numPr>
          <w:ilvl w:val="0"/>
          <w:numId w:val="17"/>
        </w:numPr>
      </w:pPr>
      <w:r>
        <w:rPr>
          <w:rStyle w:val="Strong"/>
        </w:rPr>
        <w:t>τ (2.5815)</w:t>
      </w:r>
      <w:r>
        <w:t>: This decay factor determines how quickly the short and medium-term components decay across the maturity spectrum. The relatively low value indicates that the transition from short to long-term rates occurs primarily in the shorter segment of the curve.</w:t>
      </w:r>
    </w:p>
    <w:p w:rsidR="00C02C49" w:rsidRDefault="00C02C49" w:rsidP="00C02C49">
      <w:pPr>
        <w:pStyle w:val="Heading3"/>
      </w:pPr>
      <w:r>
        <w:t>Model Performance</w:t>
      </w:r>
    </w:p>
    <w:p w:rsidR="00C02C49" w:rsidRDefault="00C02C49" w:rsidP="00C02C49">
      <w:pPr>
        <w:numPr>
          <w:ilvl w:val="0"/>
          <w:numId w:val="18"/>
        </w:numPr>
        <w:spacing w:before="100" w:beforeAutospacing="1" w:after="100" w:afterAutospacing="1" w:line="240" w:lineRule="auto"/>
      </w:pPr>
      <w:r>
        <w:t>R-squared: 0.9943</w:t>
      </w:r>
    </w:p>
    <w:p w:rsidR="00C02C49" w:rsidRDefault="00C02C49" w:rsidP="00C02C49">
      <w:pPr>
        <w:numPr>
          <w:ilvl w:val="0"/>
          <w:numId w:val="18"/>
        </w:numPr>
        <w:spacing w:before="100" w:beforeAutospacing="1" w:after="100" w:afterAutospacing="1" w:line="240" w:lineRule="auto"/>
      </w:pPr>
      <w:r>
        <w:t>RMSE: 0.0121</w:t>
      </w:r>
    </w:p>
    <w:p w:rsidR="00C02C49" w:rsidRDefault="00C02C49" w:rsidP="00C02C49">
      <w:pPr>
        <w:pStyle w:val="NormalWeb"/>
      </w:pPr>
      <w:r>
        <w:t>The Nelson-Siegel model provides an excellent fit to the observed data, explaining over 99% of the variation in yields across maturities. The small RMSE value indicates that, on average, the model's predictions deviate from actual yields by only about 1.2 basis points.</w:t>
      </w:r>
    </w:p>
    <w:p w:rsidR="00C02C49" w:rsidRDefault="00C02C49" w:rsidP="00C02C49">
      <w:pPr>
        <w:pStyle w:val="Heading2"/>
      </w:pPr>
      <w:r>
        <w:t>4. Cubic Spline Model</w:t>
      </w:r>
    </w:p>
    <w:p w:rsidR="00C02C49" w:rsidRDefault="00C02C49" w:rsidP="00C02C49">
      <w:pPr>
        <w:pStyle w:val="Heading3"/>
      </w:pPr>
      <w:r>
        <w:t>Model Specification</w:t>
      </w:r>
    </w:p>
    <w:p w:rsidR="00C02C49" w:rsidRDefault="00C02C49" w:rsidP="00C02C49">
      <w:pPr>
        <w:pStyle w:val="NormalWeb"/>
      </w:pPr>
      <w:r>
        <w:t>The Cubic Spline model is a non-parametric approach that fits a piecewise polynomial of degree 3 between each pair of adjacent knots (maturity points). The resulting function is continuous up to the second derivative.</w:t>
      </w:r>
    </w:p>
    <w:p w:rsidR="00C02C49" w:rsidRDefault="00C02C49" w:rsidP="00C02C49">
      <w:pPr>
        <w:pStyle w:val="NormalWeb"/>
      </w:pPr>
      <w:r>
        <w:t>For each interval [t_i, t_{i+1}], the cubic polynomial is defined as:</w:t>
      </w:r>
    </w:p>
    <w:p w:rsidR="00C02C49" w:rsidRDefault="00C02C49" w:rsidP="00C02C49">
      <w:pPr>
        <w:pStyle w:val="NormalWeb"/>
      </w:pPr>
      <w:r>
        <w:t>S_i(t) = a_i + b_i(t-t_i) + c_i(t-t_i)² + d_i(t-t_i)³</w:t>
      </w:r>
    </w:p>
    <w:p w:rsidR="00C02C49" w:rsidRDefault="00C02C49" w:rsidP="00C02C49">
      <w:pPr>
        <w:pStyle w:val="NormalWeb"/>
      </w:pPr>
      <w:r>
        <w:t>Our implementation utilized 8 knots (one for each observed maturity point) and generated 7 sets of polynomial coefficients to connect these points.</w:t>
      </w:r>
    </w:p>
    <w:p w:rsidR="00C02C49" w:rsidRDefault="00C02C49" w:rsidP="00C02C49">
      <w:pPr>
        <w:pStyle w:val="Heading3"/>
      </w:pPr>
      <w:r>
        <w:t>Model Performance</w:t>
      </w:r>
    </w:p>
    <w:p w:rsidR="00C02C49" w:rsidRDefault="00C02C49" w:rsidP="00C02C49">
      <w:pPr>
        <w:numPr>
          <w:ilvl w:val="0"/>
          <w:numId w:val="19"/>
        </w:numPr>
        <w:spacing w:before="100" w:beforeAutospacing="1" w:after="100" w:afterAutospacing="1" w:line="240" w:lineRule="auto"/>
      </w:pPr>
      <w:r>
        <w:t>R-squared: 1.0000 (perfect fit)</w:t>
      </w:r>
    </w:p>
    <w:p w:rsidR="00C02C49" w:rsidRDefault="00C02C49" w:rsidP="00C02C49">
      <w:pPr>
        <w:numPr>
          <w:ilvl w:val="0"/>
          <w:numId w:val="19"/>
        </w:numPr>
        <w:spacing w:before="100" w:beforeAutospacing="1" w:after="100" w:afterAutospacing="1" w:line="240" w:lineRule="auto"/>
      </w:pPr>
      <w:r>
        <w:t>RMSE: 0.0000 (no error at observation points)</w:t>
      </w:r>
    </w:p>
    <w:p w:rsidR="00C02C49" w:rsidRDefault="00C02C49" w:rsidP="00C02C49">
      <w:pPr>
        <w:pStyle w:val="NormalWeb"/>
      </w:pPr>
      <w:r>
        <w:t>As expected, the Cubic Spline model provides a perfect fit to the observed data points. This is a mathematical certainty since cubic splines are designed to pass exactly through each knot point.</w:t>
      </w:r>
    </w:p>
    <w:p w:rsidR="00C02C49" w:rsidRDefault="00C02C49" w:rsidP="00C02C49">
      <w:pPr>
        <w:pStyle w:val="Heading2"/>
      </w:pPr>
      <w:r>
        <w:lastRenderedPageBreak/>
        <w:t>5. Visual Analysis of Model Comparison</w:t>
      </w:r>
    </w:p>
    <w:p w:rsidR="00C02C49" w:rsidRDefault="00C02C49" w:rsidP="00C02C49">
      <w:pPr>
        <w:pStyle w:val="NormalWeb"/>
      </w:pPr>
      <w:r>
        <w:t>The graph reveals important differences in how the two models fit the yield curve:</w:t>
      </w:r>
    </w:p>
    <w:p w:rsidR="00C02C49" w:rsidRDefault="00C02C49" w:rsidP="00C02C49">
      <w:pPr>
        <w:pStyle w:val="NormalWeb"/>
        <w:numPr>
          <w:ilvl w:val="0"/>
          <w:numId w:val="20"/>
        </w:numPr>
      </w:pPr>
      <w:r>
        <w:rPr>
          <w:rStyle w:val="Strong"/>
        </w:rPr>
        <w:t>General Shape</w:t>
      </w:r>
      <w:r>
        <w:t>: Both models capture the overall upward-sloping trend of the yield curve.</w:t>
      </w:r>
    </w:p>
    <w:p w:rsidR="00C02C49" w:rsidRDefault="00C02C49" w:rsidP="00C02C49">
      <w:pPr>
        <w:pStyle w:val="NormalWeb"/>
        <w:numPr>
          <w:ilvl w:val="0"/>
          <w:numId w:val="20"/>
        </w:numPr>
      </w:pPr>
      <w:r>
        <w:rPr>
          <w:rStyle w:val="Strong"/>
        </w:rPr>
        <w:t>Fit at Observation Points</w:t>
      </w:r>
      <w:r>
        <w:t>:</w:t>
      </w:r>
    </w:p>
    <w:p w:rsidR="00C02C49" w:rsidRDefault="00C02C49" w:rsidP="00C02C49">
      <w:pPr>
        <w:numPr>
          <w:ilvl w:val="1"/>
          <w:numId w:val="20"/>
        </w:numPr>
        <w:spacing w:before="100" w:beforeAutospacing="1" w:after="100" w:afterAutospacing="1" w:line="240" w:lineRule="auto"/>
      </w:pPr>
      <w:r>
        <w:t>The Nelson-Siegel model (red line) provides a smooth curve that closely approximates but doesn't exactly match all observed points.</w:t>
      </w:r>
    </w:p>
    <w:p w:rsidR="00C02C49" w:rsidRDefault="00C02C49" w:rsidP="00C02C49">
      <w:pPr>
        <w:numPr>
          <w:ilvl w:val="1"/>
          <w:numId w:val="20"/>
        </w:numPr>
        <w:spacing w:before="100" w:beforeAutospacing="1" w:after="100" w:afterAutospacing="1" w:line="240" w:lineRule="auto"/>
      </w:pPr>
      <w:r>
        <w:t>The Cubic Spline model (blue line) passes perfectly through every observed yield point.</w:t>
      </w:r>
    </w:p>
    <w:p w:rsidR="00C02C49" w:rsidRDefault="00C02C49" w:rsidP="00C02C49">
      <w:pPr>
        <w:pStyle w:val="NormalWeb"/>
        <w:numPr>
          <w:ilvl w:val="0"/>
          <w:numId w:val="20"/>
        </w:numPr>
      </w:pPr>
      <w:r>
        <w:rPr>
          <w:rStyle w:val="Strong"/>
        </w:rPr>
        <w:t>Behavior Between Observation Points</w:t>
      </w:r>
      <w:r>
        <w:t>:</w:t>
      </w:r>
    </w:p>
    <w:p w:rsidR="00C02C49" w:rsidRDefault="00C02C49" w:rsidP="00C02C49">
      <w:pPr>
        <w:numPr>
          <w:ilvl w:val="1"/>
          <w:numId w:val="20"/>
        </w:numPr>
        <w:spacing w:before="100" w:beforeAutospacing="1" w:after="100" w:afterAutospacing="1" w:line="240" w:lineRule="auto"/>
      </w:pPr>
      <w:r>
        <w:t>The Nelson-Siegel curve maintains a consistent upward trajectory throughout all maturities.</w:t>
      </w:r>
    </w:p>
    <w:p w:rsidR="00C02C49" w:rsidRDefault="00C02C49" w:rsidP="00C02C49">
      <w:pPr>
        <w:numPr>
          <w:ilvl w:val="1"/>
          <w:numId w:val="20"/>
        </w:numPr>
        <w:spacing w:before="100" w:beforeAutospacing="1" w:after="100" w:afterAutospacing="1" w:line="240" w:lineRule="auto"/>
      </w:pPr>
      <w:r>
        <w:t>The Cubic Spline exhibits unexpected behavior, particularly in the region between 10 and 30 years, where it dips significantly before rising sharply to meet the 30-year yield point.</w:t>
      </w:r>
    </w:p>
    <w:p w:rsidR="00C02C49" w:rsidRDefault="00C02C49" w:rsidP="00C02C49">
      <w:pPr>
        <w:pStyle w:val="NormalWeb"/>
        <w:numPr>
          <w:ilvl w:val="0"/>
          <w:numId w:val="20"/>
        </w:numPr>
      </w:pPr>
      <w:r>
        <w:rPr>
          <w:rStyle w:val="Strong"/>
        </w:rPr>
        <w:t>Long-term Extrapolation</w:t>
      </w:r>
      <w:r>
        <w:t>:</w:t>
      </w:r>
    </w:p>
    <w:p w:rsidR="00C02C49" w:rsidRDefault="00C02C49" w:rsidP="00C02C49">
      <w:pPr>
        <w:numPr>
          <w:ilvl w:val="1"/>
          <w:numId w:val="20"/>
        </w:numPr>
        <w:spacing w:before="100" w:beforeAutospacing="1" w:after="100" w:afterAutospacing="1" w:line="240" w:lineRule="auto"/>
      </w:pPr>
      <w:r>
        <w:t>The Nelson-Siegel model suggests a continued gradual increase in yields beyond 30 years.</w:t>
      </w:r>
    </w:p>
    <w:p w:rsidR="00C02C49" w:rsidRDefault="00C02C49" w:rsidP="00C02C49">
      <w:pPr>
        <w:numPr>
          <w:ilvl w:val="1"/>
          <w:numId w:val="20"/>
        </w:numPr>
        <w:spacing w:before="100" w:beforeAutospacing="1" w:after="100" w:afterAutospacing="1" w:line="240" w:lineRule="auto"/>
      </w:pPr>
      <w:r>
        <w:t>The Cubic Spline shows an extremely steep increase after 30 years, which is likely unrealistic.</w:t>
      </w:r>
    </w:p>
    <w:p w:rsidR="00C02C49" w:rsidRDefault="00C02C49" w:rsidP="00C02C49">
      <w:pPr>
        <w:pStyle w:val="ListParagraph"/>
        <w:spacing w:before="100" w:beforeAutospacing="1" w:after="100" w:afterAutospacing="1" w:line="240" w:lineRule="auto"/>
        <w:jc w:val="center"/>
      </w:pPr>
      <w:r w:rsidRPr="000C7FD9">
        <w:rPr>
          <w:noProof/>
        </w:rPr>
        <w:drawing>
          <wp:inline distT="0" distB="0" distL="0" distR="0" wp14:anchorId="3D15D8A5" wp14:editId="0A24F71B">
            <wp:extent cx="4295567" cy="2998177"/>
            <wp:effectExtent l="0" t="0" r="0" b="0"/>
            <wp:docPr id="135508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4510" name=""/>
                    <pic:cNvPicPr/>
                  </pic:nvPicPr>
                  <pic:blipFill>
                    <a:blip r:embed="rId14"/>
                    <a:stretch>
                      <a:fillRect/>
                    </a:stretch>
                  </pic:blipFill>
                  <pic:spPr>
                    <a:xfrm>
                      <a:off x="0" y="0"/>
                      <a:ext cx="4330067" cy="3022257"/>
                    </a:xfrm>
                    <a:prstGeom prst="rect">
                      <a:avLst/>
                    </a:prstGeom>
                  </pic:spPr>
                </pic:pic>
              </a:graphicData>
            </a:graphic>
          </wp:inline>
        </w:drawing>
      </w:r>
    </w:p>
    <w:p w:rsidR="00C02C49" w:rsidRPr="00C02C49" w:rsidRDefault="00C02C49" w:rsidP="00C02C49">
      <w:pPr>
        <w:pStyle w:val="ListParagraph"/>
        <w:spacing w:before="100" w:beforeAutospacing="1" w:after="100" w:afterAutospacing="1" w:line="240" w:lineRule="auto"/>
        <w:jc w:val="center"/>
        <w:rPr>
          <w:sz w:val="20"/>
          <w:szCs w:val="20"/>
          <w:lang w:val="en-CN"/>
        </w:rPr>
      </w:pPr>
      <w:r w:rsidRPr="00C02C49">
        <w:rPr>
          <w:rFonts w:hint="eastAsia"/>
          <w:sz w:val="20"/>
          <w:szCs w:val="20"/>
        </w:rPr>
        <w:t>Fig</w:t>
      </w:r>
      <w:r w:rsidRPr="00C02C49">
        <w:rPr>
          <w:sz w:val="20"/>
          <w:szCs w:val="20"/>
          <w:lang w:val="en-US"/>
        </w:rPr>
        <w:t>1: Chinese Government Bond Yield Curve: Model Comparison</w:t>
      </w:r>
    </w:p>
    <w:p w:rsidR="00C02C49" w:rsidRDefault="00C02C49" w:rsidP="00C02C49">
      <w:pPr>
        <w:pStyle w:val="Heading2"/>
      </w:pPr>
      <w:r>
        <w:lastRenderedPageBreak/>
        <w:t>6. Detailed Model Comparison</w:t>
      </w:r>
    </w:p>
    <w:p w:rsidR="00C02C49" w:rsidRDefault="00C02C49" w:rsidP="00C02C49">
      <w:pPr>
        <w:pStyle w:val="Heading3"/>
      </w:pPr>
      <w:r>
        <w:t>Fit Quality</w:t>
      </w:r>
    </w:p>
    <w:p w:rsidR="00C02C49" w:rsidRDefault="00C02C49" w:rsidP="00C02C49">
      <w:pPr>
        <w:pStyle w:val="NormalWeb"/>
        <w:numPr>
          <w:ilvl w:val="0"/>
          <w:numId w:val="21"/>
        </w:numPr>
      </w:pPr>
      <w:r>
        <w:rPr>
          <w:rStyle w:val="Strong"/>
        </w:rPr>
        <w:t>Nelson-Siegel</w:t>
      </w:r>
      <w:r>
        <w:t>:</w:t>
      </w:r>
    </w:p>
    <w:p w:rsidR="00C02C49" w:rsidRDefault="00C02C49" w:rsidP="00C02C49">
      <w:pPr>
        <w:numPr>
          <w:ilvl w:val="1"/>
          <w:numId w:val="21"/>
        </w:numPr>
        <w:spacing w:before="100" w:beforeAutospacing="1" w:after="100" w:afterAutospacing="1" w:line="240" w:lineRule="auto"/>
      </w:pPr>
      <w:r>
        <w:t>Very high R-squared value (0.9943) indicates excellent overall fit</w:t>
      </w:r>
    </w:p>
    <w:p w:rsidR="00C02C49" w:rsidRDefault="00C02C49" w:rsidP="00C02C49">
      <w:pPr>
        <w:numPr>
          <w:ilvl w:val="1"/>
          <w:numId w:val="21"/>
        </w:numPr>
        <w:spacing w:before="100" w:beforeAutospacing="1" w:after="100" w:afterAutospacing="1" w:line="240" w:lineRule="auto"/>
      </w:pPr>
      <w:r>
        <w:t>Small RMSE (0.0121) shows minimal average deviation from observed yields</w:t>
      </w:r>
    </w:p>
    <w:p w:rsidR="00C02C49" w:rsidRDefault="00C02C49" w:rsidP="00C02C49">
      <w:pPr>
        <w:numPr>
          <w:ilvl w:val="1"/>
          <w:numId w:val="21"/>
        </w:numPr>
        <w:spacing w:before="100" w:beforeAutospacing="1" w:after="100" w:afterAutospacing="1" w:line="240" w:lineRule="auto"/>
      </w:pPr>
      <w:r>
        <w:t>Provides a smooth, economically plausible curve through the term structure</w:t>
      </w:r>
    </w:p>
    <w:p w:rsidR="00C02C49" w:rsidRDefault="00C02C49" w:rsidP="00C02C49">
      <w:pPr>
        <w:numPr>
          <w:ilvl w:val="1"/>
          <w:numId w:val="21"/>
        </w:numPr>
        <w:spacing w:before="100" w:beforeAutospacing="1" w:after="100" w:afterAutospacing="1" w:line="240" w:lineRule="auto"/>
      </w:pPr>
      <w:r>
        <w:t>Makes small trade-offs in exact fit to maintain economic consistency</w:t>
      </w:r>
    </w:p>
    <w:p w:rsidR="00C02C49" w:rsidRDefault="00C02C49" w:rsidP="00C02C49">
      <w:pPr>
        <w:pStyle w:val="NormalWeb"/>
        <w:numPr>
          <w:ilvl w:val="0"/>
          <w:numId w:val="21"/>
        </w:numPr>
      </w:pPr>
      <w:r>
        <w:rPr>
          <w:rStyle w:val="Strong"/>
        </w:rPr>
        <w:t>Cubic Spline</w:t>
      </w:r>
      <w:r>
        <w:t>:</w:t>
      </w:r>
    </w:p>
    <w:p w:rsidR="00C02C49" w:rsidRDefault="00C02C49" w:rsidP="00C02C49">
      <w:pPr>
        <w:numPr>
          <w:ilvl w:val="1"/>
          <w:numId w:val="21"/>
        </w:numPr>
        <w:spacing w:before="100" w:beforeAutospacing="1" w:after="100" w:afterAutospacing="1" w:line="240" w:lineRule="auto"/>
      </w:pPr>
      <w:r>
        <w:t>Perfect R-squared (1.0000) and zero RMSE at observation points</w:t>
      </w:r>
    </w:p>
    <w:p w:rsidR="00C02C49" w:rsidRDefault="00C02C49" w:rsidP="00C02C49">
      <w:pPr>
        <w:numPr>
          <w:ilvl w:val="1"/>
          <w:numId w:val="21"/>
        </w:numPr>
        <w:spacing w:before="100" w:beforeAutospacing="1" w:after="100" w:afterAutospacing="1" w:line="240" w:lineRule="auto"/>
      </w:pPr>
      <w:r>
        <w:t xml:space="preserve">Between observation points, especially in the </w:t>
      </w:r>
      <w:proofErr w:type="gramStart"/>
      <w:r>
        <w:t>10-30 year</w:t>
      </w:r>
      <w:proofErr w:type="gramEnd"/>
      <w:r>
        <w:t xml:space="preserve"> range, the model exhibits counterintuitive behavior that is inconsistent with typical yield curve dynamics</w:t>
      </w:r>
    </w:p>
    <w:p w:rsidR="00C02C49" w:rsidRDefault="00C02C49" w:rsidP="00C02C49">
      <w:pPr>
        <w:numPr>
          <w:ilvl w:val="1"/>
          <w:numId w:val="21"/>
        </w:numPr>
        <w:spacing w:before="100" w:beforeAutospacing="1" w:after="100" w:afterAutospacing="1" w:line="240" w:lineRule="auto"/>
      </w:pPr>
      <w:r>
        <w:t>The dramatic dip between 10-25 years followed by a sharp rise to the 30-year point suggests potential overfitting</w:t>
      </w:r>
    </w:p>
    <w:p w:rsidR="00C02C49" w:rsidRDefault="00C02C49" w:rsidP="00C02C49">
      <w:pPr>
        <w:pStyle w:val="Heading3"/>
      </w:pPr>
      <w:r>
        <w:t>Interpretation</w:t>
      </w:r>
    </w:p>
    <w:p w:rsidR="00C02C49" w:rsidRDefault="00C02C49" w:rsidP="00C02C49">
      <w:pPr>
        <w:pStyle w:val="NormalWeb"/>
        <w:numPr>
          <w:ilvl w:val="0"/>
          <w:numId w:val="22"/>
        </w:numPr>
      </w:pPr>
      <w:r>
        <w:rPr>
          <w:rStyle w:val="Strong"/>
        </w:rPr>
        <w:t>Nelson-Siegel</w:t>
      </w:r>
      <w:r>
        <w:t>:</w:t>
      </w:r>
    </w:p>
    <w:p w:rsidR="00C02C49" w:rsidRDefault="00C02C49" w:rsidP="00C02C49">
      <w:pPr>
        <w:numPr>
          <w:ilvl w:val="1"/>
          <w:numId w:val="22"/>
        </w:numPr>
        <w:spacing w:before="100" w:beforeAutospacing="1" w:after="100" w:afterAutospacing="1" w:line="240" w:lineRule="auto"/>
      </w:pPr>
      <w:r>
        <w:t>Provides clear economic interpretation through its parameters</w:t>
      </w:r>
    </w:p>
    <w:p w:rsidR="00C02C49" w:rsidRDefault="00C02C49" w:rsidP="00C02C49">
      <w:pPr>
        <w:numPr>
          <w:ilvl w:val="1"/>
          <w:numId w:val="22"/>
        </w:numPr>
        <w:spacing w:before="100" w:beforeAutospacing="1" w:after="100" w:afterAutospacing="1" w:line="240" w:lineRule="auto"/>
      </w:pPr>
      <w:r>
        <w:t>The positive β₀ (1.9729) accurately represents the long-term interest rate level</w:t>
      </w:r>
    </w:p>
    <w:p w:rsidR="00C02C49" w:rsidRDefault="00C02C49" w:rsidP="00C02C49">
      <w:pPr>
        <w:numPr>
          <w:ilvl w:val="1"/>
          <w:numId w:val="22"/>
        </w:numPr>
        <w:spacing w:before="100" w:beforeAutospacing="1" w:after="100" w:afterAutospacing="1" w:line="240" w:lineRule="auto"/>
      </w:pPr>
      <w:r>
        <w:t>The negative β₁ (-0.5831) correctly captures the upward slope of the yield curve</w:t>
      </w:r>
    </w:p>
    <w:p w:rsidR="00C02C49" w:rsidRDefault="00C02C49" w:rsidP="00C02C49">
      <w:pPr>
        <w:numPr>
          <w:ilvl w:val="1"/>
          <w:numId w:val="22"/>
        </w:numPr>
        <w:spacing w:before="100" w:beforeAutospacing="1" w:after="100" w:afterAutospacing="1" w:line="240" w:lineRule="auto"/>
      </w:pPr>
      <w:r>
        <w:t>The negative β₂ (-0.6955) reflects medium-term dynamics and the slightly accelerated increase in the middle segment of the curve</w:t>
      </w:r>
    </w:p>
    <w:p w:rsidR="00C02C49" w:rsidRDefault="00C02C49" w:rsidP="00C02C49">
      <w:pPr>
        <w:numPr>
          <w:ilvl w:val="1"/>
          <w:numId w:val="22"/>
        </w:numPr>
        <w:spacing w:before="100" w:beforeAutospacing="1" w:after="100" w:afterAutospacing="1" w:line="240" w:lineRule="auto"/>
      </w:pPr>
      <w:r>
        <w:t>The decay factor τ (2.5815) indicates the transition point where short-term effects begin to diminish</w:t>
      </w:r>
    </w:p>
    <w:p w:rsidR="00C02C49" w:rsidRDefault="00C02C49" w:rsidP="00C02C49">
      <w:pPr>
        <w:pStyle w:val="NormalWeb"/>
        <w:numPr>
          <w:ilvl w:val="0"/>
          <w:numId w:val="22"/>
        </w:numPr>
      </w:pPr>
      <w:r>
        <w:rPr>
          <w:rStyle w:val="Strong"/>
        </w:rPr>
        <w:t>Cubic Spline</w:t>
      </w:r>
      <w:r>
        <w:t>:</w:t>
      </w:r>
    </w:p>
    <w:p w:rsidR="00C02C49" w:rsidRDefault="00C02C49" w:rsidP="00C02C49">
      <w:pPr>
        <w:numPr>
          <w:ilvl w:val="1"/>
          <w:numId w:val="22"/>
        </w:numPr>
        <w:spacing w:before="100" w:beforeAutospacing="1" w:after="100" w:afterAutospacing="1" w:line="240" w:lineRule="auto"/>
      </w:pPr>
      <w:r>
        <w:t>Lacks economic interpretation despite perfect mathematical fit</w:t>
      </w:r>
    </w:p>
    <w:p w:rsidR="00C02C49" w:rsidRDefault="00C02C49" w:rsidP="00C02C49">
      <w:pPr>
        <w:numPr>
          <w:ilvl w:val="1"/>
          <w:numId w:val="22"/>
        </w:numPr>
        <w:spacing w:before="100" w:beforeAutospacing="1" w:after="100" w:afterAutospacing="1" w:line="240" w:lineRule="auto"/>
      </w:pPr>
      <w:r>
        <w:t>The coefficients are purely mathematical constructs with no financial meaning</w:t>
      </w:r>
    </w:p>
    <w:p w:rsidR="00C02C49" w:rsidRDefault="00C02C49" w:rsidP="00C02C49">
      <w:pPr>
        <w:numPr>
          <w:ilvl w:val="1"/>
          <w:numId w:val="22"/>
        </w:numPr>
        <w:spacing w:before="100" w:beforeAutospacing="1" w:after="100" w:afterAutospacing="1" w:line="240" w:lineRule="auto"/>
      </w:pPr>
      <w:r>
        <w:t>The behavior between data points, particularly the significant dip between 10-25 years, contradicts economic intuition about interest rate term structures</w:t>
      </w:r>
    </w:p>
    <w:p w:rsidR="00C02C49" w:rsidRDefault="00C02C49" w:rsidP="00C02C49">
      <w:pPr>
        <w:numPr>
          <w:ilvl w:val="1"/>
          <w:numId w:val="22"/>
        </w:numPr>
        <w:spacing w:before="100" w:beforeAutospacing="1" w:after="100" w:afterAutospacing="1" w:line="240" w:lineRule="auto"/>
      </w:pPr>
      <w:r>
        <w:t>Would be problematic for pricing securities with maturities that fall between observation points</w:t>
      </w:r>
    </w:p>
    <w:p w:rsidR="00C02C49" w:rsidRDefault="00C02C49" w:rsidP="00C02C49">
      <w:pPr>
        <w:pStyle w:val="Heading3"/>
      </w:pPr>
      <w:r>
        <w:t>Practical Applications</w:t>
      </w:r>
    </w:p>
    <w:p w:rsidR="00C02C49" w:rsidRDefault="00C02C49" w:rsidP="00C02C49">
      <w:pPr>
        <w:pStyle w:val="NormalWeb"/>
        <w:numPr>
          <w:ilvl w:val="0"/>
          <w:numId w:val="23"/>
        </w:numPr>
      </w:pPr>
      <w:r>
        <w:rPr>
          <w:rStyle w:val="Strong"/>
        </w:rPr>
        <w:t>Nelson-Siegel</w:t>
      </w:r>
      <w:r>
        <w:t>:</w:t>
      </w:r>
    </w:p>
    <w:p w:rsidR="00C02C49" w:rsidRDefault="00C02C49" w:rsidP="00C02C49">
      <w:pPr>
        <w:numPr>
          <w:ilvl w:val="1"/>
          <w:numId w:val="23"/>
        </w:numPr>
        <w:spacing w:before="100" w:beforeAutospacing="1" w:after="100" w:afterAutospacing="1" w:line="240" w:lineRule="auto"/>
      </w:pPr>
      <w:r>
        <w:lastRenderedPageBreak/>
        <w:t>Better suited for economic analysis, monetary policy decisions, and forecasting</w:t>
      </w:r>
    </w:p>
    <w:p w:rsidR="00C02C49" w:rsidRDefault="00C02C49" w:rsidP="00C02C49">
      <w:pPr>
        <w:numPr>
          <w:ilvl w:val="1"/>
          <w:numId w:val="23"/>
        </w:numPr>
        <w:spacing w:before="100" w:beforeAutospacing="1" w:after="100" w:afterAutospacing="1" w:line="240" w:lineRule="auto"/>
      </w:pPr>
      <w:r>
        <w:t>More reliable for extrapolating yields beyond the observed range</w:t>
      </w:r>
    </w:p>
    <w:p w:rsidR="00C02C49" w:rsidRDefault="00C02C49" w:rsidP="00C02C49">
      <w:pPr>
        <w:numPr>
          <w:ilvl w:val="1"/>
          <w:numId w:val="23"/>
        </w:numPr>
        <w:spacing w:before="100" w:beforeAutospacing="1" w:after="100" w:afterAutospacing="1" w:line="240" w:lineRule="auto"/>
      </w:pPr>
      <w:r>
        <w:t>Provides consistent yield estimates for securities with non-standard maturities</w:t>
      </w:r>
    </w:p>
    <w:p w:rsidR="00C02C49" w:rsidRDefault="00C02C49" w:rsidP="00C02C49">
      <w:pPr>
        <w:numPr>
          <w:ilvl w:val="1"/>
          <w:numId w:val="23"/>
        </w:numPr>
        <w:spacing w:before="100" w:beforeAutospacing="1" w:after="100" w:afterAutospacing="1" w:line="240" w:lineRule="auto"/>
      </w:pPr>
      <w:r>
        <w:t>Parameters can be tracked over time to monitor changes in market expectations</w:t>
      </w:r>
    </w:p>
    <w:p w:rsidR="00C02C49" w:rsidRDefault="00C02C49" w:rsidP="00C02C49">
      <w:pPr>
        <w:pStyle w:val="NormalWeb"/>
        <w:numPr>
          <w:ilvl w:val="0"/>
          <w:numId w:val="23"/>
        </w:numPr>
      </w:pPr>
      <w:r>
        <w:rPr>
          <w:rStyle w:val="Strong"/>
        </w:rPr>
        <w:t>Cubic Spline</w:t>
      </w:r>
      <w:r>
        <w:t>:</w:t>
      </w:r>
    </w:p>
    <w:p w:rsidR="00C02C49" w:rsidRDefault="00C02C49" w:rsidP="00C02C49">
      <w:pPr>
        <w:numPr>
          <w:ilvl w:val="1"/>
          <w:numId w:val="23"/>
        </w:numPr>
        <w:spacing w:before="100" w:beforeAutospacing="1" w:after="100" w:afterAutospacing="1" w:line="240" w:lineRule="auto"/>
      </w:pPr>
      <w:r>
        <w:t>Excellent for precise interpolation at or very near observed maturities</w:t>
      </w:r>
    </w:p>
    <w:p w:rsidR="00C02C49" w:rsidRDefault="00C02C49" w:rsidP="00C02C49">
      <w:pPr>
        <w:numPr>
          <w:ilvl w:val="1"/>
          <w:numId w:val="23"/>
        </w:numPr>
        <w:spacing w:before="100" w:beforeAutospacing="1" w:after="100" w:afterAutospacing="1" w:line="240" w:lineRule="auto"/>
      </w:pPr>
      <w:r>
        <w:t>Problematic for risk management due to unrealistic behavior between observations</w:t>
      </w:r>
    </w:p>
    <w:p w:rsidR="00C02C49" w:rsidRDefault="00C02C49" w:rsidP="00C02C49">
      <w:pPr>
        <w:numPr>
          <w:ilvl w:val="1"/>
          <w:numId w:val="23"/>
        </w:numPr>
        <w:spacing w:before="100" w:beforeAutospacing="1" w:after="100" w:afterAutospacing="1" w:line="240" w:lineRule="auto"/>
      </w:pPr>
      <w:r>
        <w:t>Could lead to mispricing of securities with maturities between observed points</w:t>
      </w:r>
    </w:p>
    <w:p w:rsidR="00C02C49" w:rsidRDefault="00C02C49" w:rsidP="00C02C49">
      <w:pPr>
        <w:numPr>
          <w:ilvl w:val="1"/>
          <w:numId w:val="23"/>
        </w:numPr>
        <w:spacing w:before="100" w:beforeAutospacing="1" w:after="100" w:afterAutospacing="1" w:line="240" w:lineRule="auto"/>
      </w:pPr>
      <w:r>
        <w:t xml:space="preserve">The dip in the </w:t>
      </w:r>
      <w:proofErr w:type="gramStart"/>
      <w:r>
        <w:t>10-30 year</w:t>
      </w:r>
      <w:proofErr w:type="gramEnd"/>
      <w:r>
        <w:t xml:space="preserve"> segment could create arbitrage opportunities that don't exist in reality</w:t>
      </w:r>
    </w:p>
    <w:p w:rsidR="00C02C49" w:rsidRDefault="00C02C49" w:rsidP="00C02C49">
      <w:pPr>
        <w:pStyle w:val="Heading2"/>
      </w:pPr>
      <w:r>
        <w:t>7. Ethical Considerations</w:t>
      </w:r>
    </w:p>
    <w:p w:rsidR="00C02C49" w:rsidRDefault="00C02C49" w:rsidP="00C02C49">
      <w:pPr>
        <w:pStyle w:val="NormalWeb"/>
      </w:pPr>
      <w:r>
        <w:t>The question of whether Nelson-Siegel smoothing is unethical requires careful consideration in light of our results. Based on the analysis of Chinese government bond data:</w:t>
      </w:r>
    </w:p>
    <w:p w:rsidR="00C02C49" w:rsidRDefault="00C02C49" w:rsidP="00C02C49">
      <w:pPr>
        <w:pStyle w:val="NormalWeb"/>
        <w:numPr>
          <w:ilvl w:val="0"/>
          <w:numId w:val="24"/>
        </w:numPr>
      </w:pPr>
      <w:r>
        <w:rPr>
          <w:rStyle w:val="Strong"/>
        </w:rPr>
        <w:t>Representational Accuracy</w:t>
      </w:r>
      <w:r>
        <w:t>: The Nelson-Siegel model introduces a very small amount of error (RMSE of 0.0121) while maintaining economic consistency. This level of smoothing preserves the essential features of the yield curve while removing potential noise or anomalies. In this context, the smoothing appears justified and ethically sound.</w:t>
      </w:r>
    </w:p>
    <w:p w:rsidR="00C02C49" w:rsidRDefault="00C02C49" w:rsidP="00C02C49">
      <w:pPr>
        <w:pStyle w:val="NormalWeb"/>
        <w:numPr>
          <w:ilvl w:val="0"/>
          <w:numId w:val="24"/>
        </w:numPr>
      </w:pPr>
      <w:r>
        <w:rPr>
          <w:rStyle w:val="Strong"/>
        </w:rPr>
        <w:t>Prevention of Overfitting</w:t>
      </w:r>
      <w:r>
        <w:t>: As demonstrated by the Cubic Spline model, perfect mathematical fit can lead to economically unrealistic results. The dramatic dip between 10-30 years in the spline model is likely an artifact of the mathematical technique rather than a genuine economic signal. By avoiding such overfitting, the Nelson-Siegel model may actually provide a more truthful representation of the underlying economic reality.</w:t>
      </w:r>
    </w:p>
    <w:p w:rsidR="00C02C49" w:rsidRDefault="00C02C49" w:rsidP="00C02C49">
      <w:pPr>
        <w:pStyle w:val="NormalWeb"/>
        <w:numPr>
          <w:ilvl w:val="0"/>
          <w:numId w:val="24"/>
        </w:numPr>
      </w:pPr>
      <w:r>
        <w:rPr>
          <w:rStyle w:val="Strong"/>
        </w:rPr>
        <w:t>Transparency</w:t>
      </w:r>
      <w:r>
        <w:t>: The ethical use of Nelson-Siegel depends on transparency. As long as the model parameters, methodology, and fit statistics are clearly communicated (as we have done in this report), users can make informed judgments about the reliability of the smoothed curve.</w:t>
      </w:r>
    </w:p>
    <w:p w:rsidR="00C02C49" w:rsidRDefault="00C02C49" w:rsidP="00C02C49">
      <w:pPr>
        <w:pStyle w:val="NormalWeb"/>
        <w:numPr>
          <w:ilvl w:val="0"/>
          <w:numId w:val="24"/>
        </w:numPr>
      </w:pPr>
      <w:r>
        <w:rPr>
          <w:rStyle w:val="Strong"/>
        </w:rPr>
        <w:t>Purpose-Appropriate Modeling</w:t>
      </w:r>
      <w:r>
        <w:t>: The Nelson-Siegel model is particularly well-suited for macroeconomic analysis and monetary policy applications where the general shape and economic interpretation of the curve are more important than exact fits at specific points. Using the appropriate model for the intended purpose is ethically sound.</w:t>
      </w:r>
    </w:p>
    <w:p w:rsidR="00C02C49" w:rsidRDefault="00C02C49" w:rsidP="00C02C49">
      <w:pPr>
        <w:pStyle w:val="NormalWeb"/>
      </w:pPr>
      <w:r>
        <w:t>Based on these considerations, the Nelson-Siegel smoothing of the Chinese government bond yield curve appears ethically justified, especially given:</w:t>
      </w:r>
    </w:p>
    <w:p w:rsidR="00C02C49" w:rsidRDefault="00C02C49" w:rsidP="00C02C49">
      <w:pPr>
        <w:numPr>
          <w:ilvl w:val="0"/>
          <w:numId w:val="25"/>
        </w:numPr>
        <w:spacing w:before="100" w:beforeAutospacing="1" w:after="100" w:afterAutospacing="1" w:line="240" w:lineRule="auto"/>
      </w:pPr>
      <w:r>
        <w:t>The high quality of fit (R-squared of 0.9943)</w:t>
      </w:r>
    </w:p>
    <w:p w:rsidR="00C02C49" w:rsidRDefault="00C02C49" w:rsidP="00C02C49">
      <w:pPr>
        <w:numPr>
          <w:ilvl w:val="0"/>
          <w:numId w:val="25"/>
        </w:numPr>
        <w:spacing w:before="100" w:beforeAutospacing="1" w:after="100" w:afterAutospacing="1" w:line="240" w:lineRule="auto"/>
      </w:pPr>
      <w:r>
        <w:t>The small magnitude of smoothing (RMSE of only 0.0121)</w:t>
      </w:r>
    </w:p>
    <w:p w:rsidR="00C02C49" w:rsidRDefault="00C02C49" w:rsidP="00C02C49">
      <w:pPr>
        <w:numPr>
          <w:ilvl w:val="0"/>
          <w:numId w:val="25"/>
        </w:numPr>
        <w:spacing w:before="100" w:beforeAutospacing="1" w:after="100" w:afterAutospacing="1" w:line="240" w:lineRule="auto"/>
      </w:pPr>
      <w:r>
        <w:t>The clear economic interpretability of the resulting parameters</w:t>
      </w:r>
    </w:p>
    <w:p w:rsidR="00C02C49" w:rsidRDefault="00C02C49" w:rsidP="00C02C49">
      <w:pPr>
        <w:numPr>
          <w:ilvl w:val="0"/>
          <w:numId w:val="25"/>
        </w:numPr>
        <w:spacing w:before="100" w:beforeAutospacing="1" w:after="100" w:afterAutospacing="1" w:line="240" w:lineRule="auto"/>
      </w:pPr>
      <w:r>
        <w:lastRenderedPageBreak/>
        <w:t>The avoidance of unrealistic behavior between observation points</w:t>
      </w:r>
    </w:p>
    <w:p w:rsidR="00C02C49" w:rsidRDefault="00C02C49" w:rsidP="00C02C49">
      <w:pPr>
        <w:pStyle w:val="Heading2"/>
      </w:pPr>
      <w:r>
        <w:t>8. Conclusion</w:t>
      </w:r>
    </w:p>
    <w:p w:rsidR="00C02C49" w:rsidRDefault="00C02C49" w:rsidP="00C02C49">
      <w:pPr>
        <w:pStyle w:val="NormalWeb"/>
      </w:pPr>
      <w:r>
        <w:t>Both the Nelson-Siegel and Cubic Spline models offer valuable approaches to yield curve modeling, but with significantly different characteristics that become apparent in our analysis of Chinese government bonds:</w:t>
      </w:r>
    </w:p>
    <w:p w:rsidR="00C02C49" w:rsidRDefault="00C02C49" w:rsidP="00C02C49">
      <w:pPr>
        <w:pStyle w:val="NormalWeb"/>
        <w:numPr>
          <w:ilvl w:val="0"/>
          <w:numId w:val="26"/>
        </w:numPr>
      </w:pPr>
      <w:r>
        <w:rPr>
          <w:rStyle w:val="Strong"/>
        </w:rPr>
        <w:t>Nelson-Siegel</w:t>
      </w:r>
      <w:r>
        <w:t xml:space="preserve"> provides an excellent balance between fit quality (R-squared: 0.9943) and economic interpretability. Its smooth, consistent curve avoids the potential pitfalls of overfitting while capturing the essential features of the term structure. The economically meaningful parameters offer valuable insights into market expectations about future interest rates.</w:t>
      </w:r>
    </w:p>
    <w:p w:rsidR="00C02C49" w:rsidRDefault="00C02C49" w:rsidP="00C02C49">
      <w:pPr>
        <w:pStyle w:val="NormalWeb"/>
        <w:numPr>
          <w:ilvl w:val="0"/>
          <w:numId w:val="26"/>
        </w:numPr>
      </w:pPr>
      <w:r>
        <w:rPr>
          <w:rStyle w:val="Strong"/>
        </w:rPr>
        <w:t>Cubic Spline</w:t>
      </w:r>
      <w:r>
        <w:t xml:space="preserve"> achieves mathematical perfection at observation points but at the cost of economic plausibility between those points. The significant dip in the 10-25 year segment followed by a sharp rise to the 30-year point demonstrates how purely mathematical approaches can generate curves that contradict financial theory and market behavior.</w:t>
      </w:r>
    </w:p>
    <w:p w:rsidR="00C02C49" w:rsidRDefault="00C02C49" w:rsidP="00C02C49">
      <w:pPr>
        <w:pStyle w:val="NormalWeb"/>
      </w:pPr>
      <w:r>
        <w:t>The optimal choice between these models depends on the specific application:</w:t>
      </w:r>
    </w:p>
    <w:p w:rsidR="00C02C49" w:rsidRDefault="00C02C49" w:rsidP="00C02C49">
      <w:pPr>
        <w:numPr>
          <w:ilvl w:val="0"/>
          <w:numId w:val="27"/>
        </w:numPr>
        <w:spacing w:before="100" w:beforeAutospacing="1" w:after="100" w:afterAutospacing="1" w:line="240" w:lineRule="auto"/>
      </w:pPr>
      <w:r>
        <w:t>For pricing securities with standard maturities that match the observation points, both models perform equally well.</w:t>
      </w:r>
    </w:p>
    <w:p w:rsidR="00C02C49" w:rsidRDefault="00C02C49" w:rsidP="00C02C49">
      <w:pPr>
        <w:numPr>
          <w:ilvl w:val="0"/>
          <w:numId w:val="27"/>
        </w:numPr>
        <w:spacing w:before="100" w:beforeAutospacing="1" w:after="100" w:afterAutospacing="1" w:line="240" w:lineRule="auto"/>
      </w:pPr>
      <w:r>
        <w:t>For economic analysis, monetary policy decisions, and pricing securities with non-standard maturities, the Nelson-Siegel model provides more reliable and economically consistent results.</w:t>
      </w:r>
    </w:p>
    <w:p w:rsidR="00C02C49" w:rsidRDefault="00C02C49" w:rsidP="00C02C49">
      <w:pPr>
        <w:numPr>
          <w:ilvl w:val="0"/>
          <w:numId w:val="27"/>
        </w:numPr>
        <w:spacing w:before="100" w:beforeAutospacing="1" w:after="100" w:afterAutospacing="1" w:line="240" w:lineRule="auto"/>
      </w:pPr>
      <w:r>
        <w:t>For applications where exact interpolation at specific points is the primary concern and the behavior between those points is less important, the Cubic Spline may be preferable.</w:t>
      </w:r>
    </w:p>
    <w:p w:rsidR="00DC655E" w:rsidRPr="00C02C49" w:rsidRDefault="00C02C49" w:rsidP="00C02C49">
      <w:pPr>
        <w:pStyle w:val="NormalWeb"/>
      </w:pPr>
      <w:r>
        <w:t>This analysis demonstrates that successful yield curve modeling requires balancing mathematical fit with economic theory. The Nelson-Siegel model, with its strong theoretical foundation and excellent empirical performance, provides a more holistic representation of the Chinese government bond yield curve despite introducing a small amount of smoothing. This smoothing is not only ethically justified but may enhance the economic validity of the resulting curve.</w:t>
      </w:r>
    </w:p>
    <w:p w:rsidR="00FF3E20" w:rsidRPr="00DC655E" w:rsidRDefault="00FF3E20" w:rsidP="007C6E2A">
      <w:pPr>
        <w:pStyle w:val="whitespace-pre-wrap"/>
      </w:pPr>
    </w:p>
    <w:sectPr w:rsidR="00FF3E20" w:rsidRPr="00DC655E" w:rsidSect="00D2454E">
      <w:headerReference w:type="default" r:id="rId15"/>
      <w:footerReference w:type="default" r:id="rId16"/>
      <w:headerReference w:type="first" r:id="rId17"/>
      <w:footerReference w:type="first" r:id="rId18"/>
      <w:pgSz w:w="12240" w:h="15840"/>
      <w:pgMar w:top="1440" w:right="1440" w:bottom="1440" w:left="1440" w:header="720" w:footer="64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D4FB1" w:rsidRDefault="000D4FB1">
      <w:pPr>
        <w:spacing w:line="240" w:lineRule="auto"/>
      </w:pPr>
      <w:r>
        <w:separator/>
      </w:r>
    </w:p>
  </w:endnote>
  <w:endnote w:type="continuationSeparator" w:id="0">
    <w:p w:rsidR="000D4FB1" w:rsidRDefault="000D4F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015DE7A-D3CE-644C-87E7-FB3F3F9AE0C7}"/>
  </w:font>
  <w:font w:name="Times New Roman">
    <w:panose1 w:val="02020603050405020304"/>
    <w:charset w:val="00"/>
    <w:family w:val="roman"/>
    <w:pitch w:val="variable"/>
    <w:sig w:usb0="E0002EFF" w:usb1="C000785B" w:usb2="00000009" w:usb3="00000000" w:csb0="000001FF" w:csb1="00000000"/>
    <w:embedRegular r:id="rId2" w:fontKey="{5BD9A706-E459-BB48-B46D-882F4C389EF3}"/>
    <w:embedBold r:id="rId3" w:fontKey="{27ABEF5D-EE71-1E4D-A9F6-96AD675262C2}"/>
    <w:embedItalic r:id="rId4" w:fontKey="{ED024D04-5D19-DA4F-B80B-A4366EA93399}"/>
  </w:font>
  <w:font w:name="Courier New">
    <w:panose1 w:val="02070309020205020404"/>
    <w:charset w:val="00"/>
    <w:family w:val="modern"/>
    <w:pitch w:val="fixed"/>
    <w:sig w:usb0="E0002AFF" w:usb1="C0007843" w:usb2="00000009" w:usb3="00000000" w:csb0="000001FF" w:csb1="00000000"/>
    <w:embedRegular r:id="rId5" w:fontKey="{06DEB8EA-2659-964A-9A55-0232375CBF59}"/>
  </w:font>
  <w:font w:name="Wingdings">
    <w:panose1 w:val="05000000000000000000"/>
    <w:charset w:val="4D"/>
    <w:family w:val="decorative"/>
    <w:pitch w:val="variable"/>
    <w:sig w:usb0="00000003" w:usb1="00000000" w:usb2="00000000" w:usb3="00000000" w:csb0="80000001" w:csb1="00000000"/>
    <w:embedRegular r:id="rId6" w:fontKey="{31837029-BB83-E74A-B9EA-37E21340EEB6}"/>
  </w:font>
  <w:font w:name="Noto Sans Symbols">
    <w:charset w:val="00"/>
    <w:family w:val="auto"/>
    <w:pitch w:val="default"/>
    <w:embedRegular r:id="rId7" w:fontKey="{32404908-AA2C-B546-BDF3-EDE994E95A1E}"/>
  </w:font>
  <w:font w:name="Roboto">
    <w:panose1 w:val="02000000000000000000"/>
    <w:charset w:val="00"/>
    <w:family w:val="auto"/>
    <w:pitch w:val="variable"/>
    <w:sig w:usb0="E0000AFF" w:usb1="5000217F" w:usb2="00000021" w:usb3="00000000" w:csb0="0000019F" w:csb1="00000000"/>
    <w:embedRegular r:id="rId8" w:fontKey="{1F1B15B3-FD8C-644C-8786-92277BD07973}"/>
    <w:embedBold r:id="rId9" w:fontKey="{5373D1A6-D6B2-B547-93E9-66713E91D874}"/>
    <w:embedBoldItalic r:id="rId10" w:fontKey="{E5689DAC-C7D4-DD42-A124-4C6C8CDD19BC}"/>
  </w:font>
  <w:font w:name="SimSun">
    <w:altName w:val="宋体"/>
    <w:panose1 w:val="02010600030101010101"/>
    <w:charset w:val="86"/>
    <w:family w:val="auto"/>
    <w:pitch w:val="variable"/>
    <w:sig w:usb0="00000203" w:usb1="288F0000" w:usb2="00000016" w:usb3="00000000" w:csb0="00040001" w:csb1="00000000"/>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embedRegular r:id="rId13" w:fontKey="{08CDC174-1160-684D-BB89-356A1B470B65}"/>
    <w:embedBold r:id="rId14" w:fontKey="{FD5D4258-3F40-4F42-9DE4-0E55E3335B72}"/>
  </w:font>
  <w:font w:name="Nova Mono">
    <w:charset w:val="00"/>
    <w:family w:val="auto"/>
    <w:pitch w:val="default"/>
    <w:embedRegular r:id="rId15" w:fontKey="{7BFEB9F5-1902-6B43-9E25-662E41B520B8}"/>
    <w:embedBold r:id="rId16" w:fontKey="{7E83393C-7F2F-EE41-BE6E-965AE5DC5EF2}"/>
  </w:font>
  <w:font w:name="Fira Code">
    <w:panose1 w:val="020B0809050000020004"/>
    <w:charset w:val="00"/>
    <w:family w:val="modern"/>
    <w:pitch w:val="fixed"/>
    <w:sig w:usb0="E00002EF" w:usb1="1200F8FB" w:usb2="00000008" w:usb3="00000000" w:csb0="0000009F" w:csb1="00000000"/>
    <w:embedRegular r:id="rId17" w:fontKey="{FF568B95-AF79-374A-955C-2DBE0F437D84}"/>
  </w:font>
  <w:font w:name="Cambria">
    <w:panose1 w:val="02040503050406030204"/>
    <w:charset w:val="00"/>
    <w:family w:val="roman"/>
    <w:pitch w:val="variable"/>
    <w:sig w:usb0="E00002FF" w:usb1="400004FF" w:usb2="00000000" w:usb3="00000000" w:csb0="0000019F" w:csb1="00000000"/>
    <w:embedRegular r:id="rId18" w:fontKey="{835EFF0C-AC41-2F4B-A700-5BEC002997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3njj2xp27vi6" w:colFirst="0" w:colLast="0"/>
  <w:bookmarkEnd w:id="3"/>
  <w:p w:rsidR="00240B3B" w:rsidRDefault="00000000">
    <w:pPr>
      <w:pStyle w:val="Subtitle"/>
      <w:tabs>
        <w:tab w:val="right" w:pos="9360"/>
      </w:tabs>
      <w:jc w:val="right"/>
      <w:rPr>
        <w:color w:val="CCCCCC"/>
        <w:sz w:val="15"/>
        <w:szCs w:val="15"/>
      </w:rPr>
    </w:pPr>
    <w:r>
      <w:rPr>
        <w:color w:val="CCCCCC"/>
        <w:sz w:val="15"/>
        <w:szCs w:val="15"/>
      </w:rPr>
      <w:fldChar w:fldCharType="begin"/>
    </w:r>
    <w:r>
      <w:rPr>
        <w:color w:val="CCCCCC"/>
        <w:sz w:val="15"/>
        <w:szCs w:val="15"/>
      </w:rPr>
      <w:instrText>PAGE</w:instrText>
    </w:r>
    <w:r>
      <w:rPr>
        <w:color w:val="CCCCCC"/>
        <w:sz w:val="15"/>
        <w:szCs w:val="15"/>
      </w:rPr>
      <w:fldChar w:fldCharType="separate"/>
    </w:r>
    <w:r w:rsidR="007C6E2A">
      <w:rPr>
        <w:noProof/>
        <w:color w:val="CCCCCC"/>
        <w:sz w:val="15"/>
        <w:szCs w:val="15"/>
      </w:rPr>
      <w:t>1</w:t>
    </w:r>
    <w:r>
      <w:rPr>
        <w:color w:val="CCCCCC"/>
        <w:sz w:val="15"/>
        <w:szCs w:val="1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5" w:name="_lmzikmqfw25z" w:colFirst="0" w:colLast="0"/>
  <w:bookmarkEnd w:id="5"/>
  <w:p w:rsidR="00240B3B" w:rsidRDefault="00000000">
    <w:pPr>
      <w:pStyle w:val="Subtitle"/>
      <w:tabs>
        <w:tab w:val="right" w:pos="9360"/>
      </w:tabs>
      <w:rPr>
        <w:color w:val="D9D9D9"/>
        <w:sz w:val="15"/>
        <w:szCs w:val="15"/>
      </w:rPr>
    </w:pPr>
    <w:r>
      <w:rPr>
        <w:color w:val="D9D9D9"/>
        <w:sz w:val="15"/>
        <w:szCs w:val="15"/>
      </w:rPr>
      <w:fldChar w:fldCharType="begin"/>
    </w:r>
    <w:r>
      <w:rPr>
        <w:color w:val="D9D9D9"/>
        <w:sz w:val="15"/>
        <w:szCs w:val="15"/>
      </w:rPr>
      <w:instrText>PAGE</w:instrText>
    </w:r>
    <w:r>
      <w:rPr>
        <w:color w:val="D9D9D9"/>
        <w:sz w:val="15"/>
        <w:szCs w:val="15"/>
      </w:rPr>
      <w:fldChar w:fldCharType="separate"/>
    </w:r>
    <w:r w:rsidR="007C6E2A">
      <w:rPr>
        <w:noProof/>
        <w:color w:val="D9D9D9"/>
        <w:sz w:val="15"/>
        <w:szCs w:val="15"/>
      </w:rPr>
      <w:t>0</w:t>
    </w:r>
    <w:r>
      <w:rPr>
        <w:color w:val="D9D9D9"/>
        <w:sz w:val="15"/>
        <w:szCs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D4FB1" w:rsidRDefault="000D4FB1">
      <w:pPr>
        <w:spacing w:line="240" w:lineRule="auto"/>
      </w:pPr>
      <w:r>
        <w:separator/>
      </w:r>
    </w:p>
  </w:footnote>
  <w:footnote w:type="continuationSeparator" w:id="0">
    <w:p w:rsidR="000D4FB1" w:rsidRDefault="000D4F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0B3B" w:rsidRDefault="00000000">
    <w:pPr>
      <w:pStyle w:val="Subtitle"/>
    </w:pPr>
    <w:bookmarkStart w:id="2" w:name="_qabbsffvlmwa" w:colFirst="0" w:colLast="0"/>
    <w:bookmarkEnd w:id="2"/>
    <w:r>
      <w:rPr>
        <w:b/>
        <w:color w:val="29333D"/>
        <w:sz w:val="24"/>
        <w:szCs w:val="24"/>
      </w:rPr>
      <w:t>GROUP WORK PROJECT #</w:t>
    </w:r>
    <w:r>
      <w:rPr>
        <w:color w:val="29333D"/>
        <w:sz w:val="24"/>
        <w:szCs w:val="24"/>
      </w:rPr>
      <w:t xml:space="preserve"> ___</w:t>
    </w:r>
    <w:r>
      <w:rPr>
        <w:color w:val="29333D"/>
        <w:sz w:val="24"/>
        <w:szCs w:val="24"/>
      </w:rPr>
      <w:tab/>
    </w:r>
    <w:r>
      <w:rPr>
        <w:color w:val="29333D"/>
        <w:sz w:val="24"/>
        <w:szCs w:val="24"/>
      </w:rPr>
      <w:tab/>
    </w:r>
    <w:r>
      <w:rPr>
        <w:color w:val="29333D"/>
        <w:sz w:val="24"/>
        <w:szCs w:val="24"/>
      </w:rPr>
      <w:tab/>
    </w:r>
    <w:r>
      <w:rPr>
        <w:color w:val="29333D"/>
        <w:sz w:val="24"/>
        <w:szCs w:val="24"/>
      </w:rPr>
      <w:tab/>
    </w:r>
    <w:proofErr w:type="spellStart"/>
    <w:r>
      <w:rPr>
        <w:rFonts w:ascii="Calibri" w:eastAsia="Calibri" w:hAnsi="Calibri" w:cs="Calibri"/>
        <w:color w:val="41395F"/>
        <w:sz w:val="24"/>
        <w:szCs w:val="24"/>
      </w:rPr>
      <w:t>MScFE</w:t>
    </w:r>
    <w:proofErr w:type="spellEnd"/>
    <w:r>
      <w:rPr>
        <w:rFonts w:ascii="Calibri" w:eastAsia="Calibri" w:hAnsi="Calibri" w:cs="Calibri"/>
        <w:color w:val="41395F"/>
        <w:sz w:val="24"/>
        <w:szCs w:val="24"/>
      </w:rPr>
      <w:t xml:space="preserve"> 600: FINANCIAL DATA</w:t>
    </w:r>
  </w:p>
  <w:p w:rsidR="00240B3B" w:rsidRDefault="00000000">
    <w:r>
      <w:rPr>
        <w:b/>
      </w:rPr>
      <w:t>Group Number:</w:t>
    </w:r>
    <w:r>
      <w:t xml:space="preserve"> 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0B3B" w:rsidRDefault="00000000">
    <w:pPr>
      <w:pStyle w:val="Subtitle"/>
    </w:pPr>
    <w:bookmarkStart w:id="4" w:name="_4017fk80lz86" w:colFirst="0" w:colLast="0"/>
    <w:bookmarkEnd w:id="4"/>
    <w:r>
      <w:rPr>
        <w:b/>
        <w:color w:val="29333D"/>
        <w:sz w:val="24"/>
        <w:szCs w:val="24"/>
      </w:rPr>
      <w:t>GROUP WORK PROJECT #</w:t>
    </w:r>
    <w:r>
      <w:rPr>
        <w:color w:val="29333D"/>
        <w:sz w:val="24"/>
        <w:szCs w:val="24"/>
      </w:rPr>
      <w:t xml:space="preserve"> ___</w:t>
    </w:r>
    <w:r>
      <w:rPr>
        <w:color w:val="29333D"/>
        <w:sz w:val="24"/>
        <w:szCs w:val="24"/>
      </w:rPr>
      <w:tab/>
    </w:r>
    <w:r>
      <w:rPr>
        <w:color w:val="29333D"/>
        <w:sz w:val="24"/>
        <w:szCs w:val="24"/>
      </w:rPr>
      <w:tab/>
    </w:r>
    <w:r>
      <w:rPr>
        <w:color w:val="29333D"/>
        <w:sz w:val="24"/>
        <w:szCs w:val="24"/>
      </w:rPr>
      <w:tab/>
    </w:r>
    <w:r>
      <w:rPr>
        <w:color w:val="29333D"/>
        <w:sz w:val="24"/>
        <w:szCs w:val="24"/>
      </w:rPr>
      <w:tab/>
      <w:t xml:space="preserve">       </w:t>
    </w:r>
    <w:proofErr w:type="spellStart"/>
    <w:r>
      <w:rPr>
        <w:color w:val="41395F"/>
        <w:sz w:val="24"/>
        <w:szCs w:val="24"/>
      </w:rPr>
      <w:t>MScFE</w:t>
    </w:r>
    <w:proofErr w:type="spellEnd"/>
    <w:r>
      <w:rPr>
        <w:color w:val="41395F"/>
        <w:sz w:val="24"/>
        <w:szCs w:val="24"/>
      </w:rPr>
      <w:t xml:space="preserve"> 600: FINANCIAL DATA</w:t>
    </w:r>
  </w:p>
  <w:p w:rsidR="00240B3B" w:rsidRDefault="00000000">
    <w:r>
      <w:rPr>
        <w:b/>
      </w:rPr>
      <w:t>GROUP NUMBER:</w:t>
    </w:r>
    <w:r>
      <w:t xml:space="preserve"> 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1C48"/>
    <w:multiLevelType w:val="multilevel"/>
    <w:tmpl w:val="39BC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50FF1"/>
    <w:multiLevelType w:val="multilevel"/>
    <w:tmpl w:val="775A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E6834"/>
    <w:multiLevelType w:val="multilevel"/>
    <w:tmpl w:val="B7805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334A3A"/>
    <w:multiLevelType w:val="multilevel"/>
    <w:tmpl w:val="B9A8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C0FA8"/>
    <w:multiLevelType w:val="multilevel"/>
    <w:tmpl w:val="A8CAC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BB6575"/>
    <w:multiLevelType w:val="multilevel"/>
    <w:tmpl w:val="10341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6490F"/>
    <w:multiLevelType w:val="multilevel"/>
    <w:tmpl w:val="207E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DA5BAE"/>
    <w:multiLevelType w:val="multilevel"/>
    <w:tmpl w:val="D892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633EA"/>
    <w:multiLevelType w:val="multilevel"/>
    <w:tmpl w:val="94340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5A178D"/>
    <w:multiLevelType w:val="multilevel"/>
    <w:tmpl w:val="52FC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536C0C"/>
    <w:multiLevelType w:val="multilevel"/>
    <w:tmpl w:val="BC60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60355"/>
    <w:multiLevelType w:val="multilevel"/>
    <w:tmpl w:val="FC40C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384D77"/>
    <w:multiLevelType w:val="multilevel"/>
    <w:tmpl w:val="0560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2A54C0"/>
    <w:multiLevelType w:val="multilevel"/>
    <w:tmpl w:val="FEB62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BE1C55"/>
    <w:multiLevelType w:val="multilevel"/>
    <w:tmpl w:val="227A2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CA4E06"/>
    <w:multiLevelType w:val="multilevel"/>
    <w:tmpl w:val="F2FE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DB17F5"/>
    <w:multiLevelType w:val="multilevel"/>
    <w:tmpl w:val="AD68F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DB539B"/>
    <w:multiLevelType w:val="multilevel"/>
    <w:tmpl w:val="67AA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F14635"/>
    <w:multiLevelType w:val="multilevel"/>
    <w:tmpl w:val="61A6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0C7AC7"/>
    <w:multiLevelType w:val="multilevel"/>
    <w:tmpl w:val="F934EA78"/>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20" w15:restartNumberingAfterBreak="0">
    <w:nsid w:val="658567BB"/>
    <w:multiLevelType w:val="multilevel"/>
    <w:tmpl w:val="70B65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EE02A2"/>
    <w:multiLevelType w:val="multilevel"/>
    <w:tmpl w:val="6ECAA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B8E003D"/>
    <w:multiLevelType w:val="multilevel"/>
    <w:tmpl w:val="BF02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3A2A1C"/>
    <w:multiLevelType w:val="multilevel"/>
    <w:tmpl w:val="68C6D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1F237C"/>
    <w:multiLevelType w:val="multilevel"/>
    <w:tmpl w:val="262C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44102B"/>
    <w:multiLevelType w:val="multilevel"/>
    <w:tmpl w:val="08C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195BD3"/>
    <w:multiLevelType w:val="multilevel"/>
    <w:tmpl w:val="034C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530260">
    <w:abstractNumId w:val="19"/>
  </w:num>
  <w:num w:numId="2" w16cid:durableId="1635408247">
    <w:abstractNumId w:val="21"/>
  </w:num>
  <w:num w:numId="3" w16cid:durableId="194539770">
    <w:abstractNumId w:val="12"/>
  </w:num>
  <w:num w:numId="4" w16cid:durableId="1911578916">
    <w:abstractNumId w:val="24"/>
  </w:num>
  <w:num w:numId="5" w16cid:durableId="1592396500">
    <w:abstractNumId w:val="22"/>
  </w:num>
  <w:num w:numId="6" w16cid:durableId="711539633">
    <w:abstractNumId w:val="1"/>
  </w:num>
  <w:num w:numId="7" w16cid:durableId="1657417862">
    <w:abstractNumId w:val="5"/>
  </w:num>
  <w:num w:numId="8" w16cid:durableId="60643361">
    <w:abstractNumId w:val="16"/>
  </w:num>
  <w:num w:numId="9" w16cid:durableId="780030034">
    <w:abstractNumId w:val="13"/>
  </w:num>
  <w:num w:numId="10" w16cid:durableId="1519391353">
    <w:abstractNumId w:val="11"/>
  </w:num>
  <w:num w:numId="11" w16cid:durableId="635184871">
    <w:abstractNumId w:val="17"/>
  </w:num>
  <w:num w:numId="12" w16cid:durableId="1534659265">
    <w:abstractNumId w:val="10"/>
  </w:num>
  <w:num w:numId="13" w16cid:durableId="141779671">
    <w:abstractNumId w:val="9"/>
  </w:num>
  <w:num w:numId="14" w16cid:durableId="1804929290">
    <w:abstractNumId w:val="3"/>
  </w:num>
  <w:num w:numId="15" w16cid:durableId="1295713927">
    <w:abstractNumId w:val="20"/>
  </w:num>
  <w:num w:numId="16" w16cid:durableId="1055006542">
    <w:abstractNumId w:val="26"/>
  </w:num>
  <w:num w:numId="17" w16cid:durableId="45185078">
    <w:abstractNumId w:val="18"/>
  </w:num>
  <w:num w:numId="18" w16cid:durableId="2123448971">
    <w:abstractNumId w:val="25"/>
  </w:num>
  <w:num w:numId="19" w16cid:durableId="1370489379">
    <w:abstractNumId w:val="0"/>
  </w:num>
  <w:num w:numId="20" w16cid:durableId="78991125">
    <w:abstractNumId w:val="6"/>
  </w:num>
  <w:num w:numId="21" w16cid:durableId="1684742181">
    <w:abstractNumId w:val="8"/>
  </w:num>
  <w:num w:numId="22" w16cid:durableId="368342187">
    <w:abstractNumId w:val="23"/>
  </w:num>
  <w:num w:numId="23" w16cid:durableId="29378069">
    <w:abstractNumId w:val="2"/>
  </w:num>
  <w:num w:numId="24" w16cid:durableId="2049719290">
    <w:abstractNumId w:val="14"/>
  </w:num>
  <w:num w:numId="25" w16cid:durableId="1285691156">
    <w:abstractNumId w:val="7"/>
  </w:num>
  <w:num w:numId="26" w16cid:durableId="789595272">
    <w:abstractNumId w:val="4"/>
  </w:num>
  <w:num w:numId="27" w16cid:durableId="17733537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B3B"/>
    <w:rsid w:val="000C7FD9"/>
    <w:rsid w:val="000D4FB1"/>
    <w:rsid w:val="001A3D0C"/>
    <w:rsid w:val="00240B3B"/>
    <w:rsid w:val="00301C51"/>
    <w:rsid w:val="003334BE"/>
    <w:rsid w:val="00566B5A"/>
    <w:rsid w:val="005A62C6"/>
    <w:rsid w:val="006A31CD"/>
    <w:rsid w:val="006F36B6"/>
    <w:rsid w:val="007C6E2A"/>
    <w:rsid w:val="00A3133B"/>
    <w:rsid w:val="00B13A93"/>
    <w:rsid w:val="00C02C49"/>
    <w:rsid w:val="00D205F8"/>
    <w:rsid w:val="00D2454E"/>
    <w:rsid w:val="00DC655E"/>
    <w:rsid w:val="00FF3E20"/>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9A54"/>
  <w15:docId w15:val="{BF913ECF-9343-6D45-8FD1-0D868EB8B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SimSun" w:hAnsi="Roboto" w:cs="Roboto"/>
        <w:color w:val="29333D"/>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line="240" w:lineRule="auto"/>
      <w:outlineLvl w:val="0"/>
    </w:pPr>
    <w:rPr>
      <w:b/>
      <w:color w:val="004974"/>
      <w:sz w:val="44"/>
      <w:szCs w:val="44"/>
    </w:rPr>
  </w:style>
  <w:style w:type="paragraph" w:styleId="Heading2">
    <w:name w:val="heading 2"/>
    <w:basedOn w:val="Normal"/>
    <w:next w:val="Normal"/>
    <w:uiPriority w:val="9"/>
    <w:unhideWhenUsed/>
    <w:qFormat/>
    <w:pPr>
      <w:keepNext/>
      <w:keepLines/>
      <w:shd w:val="clear" w:color="auto" w:fill="FFFFFF"/>
      <w:spacing w:before="300" w:after="300" w:line="240" w:lineRule="auto"/>
      <w:outlineLvl w:val="1"/>
    </w:pPr>
    <w:rPr>
      <w:b/>
      <w:color w:val="004974"/>
      <w:sz w:val="32"/>
      <w:szCs w:val="32"/>
    </w:rPr>
  </w:style>
  <w:style w:type="paragraph" w:styleId="Heading3">
    <w:name w:val="heading 3"/>
    <w:basedOn w:val="Normal"/>
    <w:next w:val="Normal"/>
    <w:uiPriority w:val="9"/>
    <w:unhideWhenUsed/>
    <w:qFormat/>
    <w:pPr>
      <w:keepNext/>
      <w:keepLines/>
      <w:outlineLvl w:val="2"/>
    </w:pPr>
    <w:rPr>
      <w:b/>
      <w:color w:val="004974"/>
    </w:rPr>
  </w:style>
  <w:style w:type="paragraph" w:styleId="Heading4">
    <w:name w:val="heading 4"/>
    <w:basedOn w:val="Normal"/>
    <w:next w:val="Normal"/>
    <w:uiPriority w:val="9"/>
    <w:unhideWhenUsed/>
    <w:qFormat/>
    <w:pPr>
      <w:keepNext/>
      <w:keepLines/>
      <w:spacing w:line="240" w:lineRule="auto"/>
      <w:outlineLvl w:val="3"/>
    </w:pPr>
    <w:rPr>
      <w:b/>
      <w:color w:val="FFFFFF"/>
      <w:sz w:val="20"/>
      <w:szCs w:val="20"/>
    </w:rPr>
  </w:style>
  <w:style w:type="paragraph" w:styleId="Heading5">
    <w:name w:val="heading 5"/>
    <w:basedOn w:val="Normal"/>
    <w:next w:val="Normal"/>
    <w:uiPriority w:val="9"/>
    <w:semiHidden/>
    <w:unhideWhenUsed/>
    <w:qFormat/>
    <w:pPr>
      <w:keepNext/>
      <w:keepLines/>
      <w:spacing w:line="240" w:lineRule="auto"/>
      <w:outlineLvl w:val="4"/>
    </w:pPr>
    <w:rPr>
      <w:b/>
      <w:color w:val="E17714"/>
      <w:u w:val="single"/>
    </w:rPr>
  </w:style>
  <w:style w:type="paragraph" w:styleId="Heading6">
    <w:name w:val="heading 6"/>
    <w:basedOn w:val="Normal"/>
    <w:next w:val="Normal"/>
    <w:uiPriority w:val="9"/>
    <w:semiHidden/>
    <w:unhideWhenUsed/>
    <w:qFormat/>
    <w:pPr>
      <w:keepNext/>
      <w:keepLines/>
      <w:shd w:val="clear" w:color="auto" w:fill="FFFFFF"/>
      <w:spacing w:before="180" w:after="300"/>
      <w:jc w:val="center"/>
      <w:outlineLvl w:val="5"/>
    </w:pPr>
    <w:rPr>
      <w:rFonts w:ascii="Palatino" w:eastAsia="Palatino" w:hAnsi="Palatino" w:cs="Palatino"/>
      <w:i/>
      <w:color w:val="434343"/>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b/>
      <w:color w:val="004974"/>
      <w:sz w:val="52"/>
      <w:szCs w:val="52"/>
    </w:rPr>
  </w:style>
  <w:style w:type="paragraph" w:styleId="Subtitle">
    <w:name w:val="Subtitle"/>
    <w:basedOn w:val="Normal"/>
    <w:next w:val="Normal"/>
    <w:uiPriority w:val="11"/>
    <w:qFormat/>
    <w:pPr>
      <w:keepNext/>
      <w:keepLines/>
      <w:spacing w:line="240" w:lineRule="auto"/>
    </w:pPr>
    <w:rPr>
      <w:color w:val="B7B7B7"/>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customStyle="1" w:styleId="whitespace-pre-wrap">
    <w:name w:val="whitespace-pre-wrap"/>
    <w:basedOn w:val="Normal"/>
    <w:rsid w:val="007C6E2A"/>
    <w:pPr>
      <w:spacing w:before="100" w:beforeAutospacing="1" w:after="100" w:afterAutospacing="1" w:line="240" w:lineRule="auto"/>
    </w:pPr>
    <w:rPr>
      <w:rFonts w:ascii="Times New Roman" w:eastAsia="Times New Roman" w:hAnsi="Times New Roman" w:cs="Times New Roman"/>
      <w:color w:val="auto"/>
      <w:lang w:val="en-CN"/>
    </w:rPr>
  </w:style>
  <w:style w:type="paragraph" w:styleId="HTMLPreformatted">
    <w:name w:val="HTML Preformatted"/>
    <w:basedOn w:val="Normal"/>
    <w:link w:val="HTMLPreformattedChar"/>
    <w:uiPriority w:val="99"/>
    <w:semiHidden/>
    <w:unhideWhenUsed/>
    <w:rsid w:val="007C6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CN"/>
    </w:rPr>
  </w:style>
  <w:style w:type="character" w:customStyle="1" w:styleId="HTMLPreformattedChar">
    <w:name w:val="HTML Preformatted Char"/>
    <w:basedOn w:val="DefaultParagraphFont"/>
    <w:link w:val="HTMLPreformatted"/>
    <w:uiPriority w:val="99"/>
    <w:semiHidden/>
    <w:rsid w:val="007C6E2A"/>
    <w:rPr>
      <w:rFonts w:ascii="Courier New" w:eastAsia="Times New Roman" w:hAnsi="Courier New" w:cs="Courier New"/>
      <w:color w:val="auto"/>
      <w:sz w:val="20"/>
      <w:szCs w:val="20"/>
      <w:lang w:val="en-CN"/>
    </w:rPr>
  </w:style>
  <w:style w:type="character" w:styleId="HTMLCode">
    <w:name w:val="HTML Code"/>
    <w:basedOn w:val="DefaultParagraphFont"/>
    <w:uiPriority w:val="99"/>
    <w:semiHidden/>
    <w:unhideWhenUsed/>
    <w:rsid w:val="007C6E2A"/>
    <w:rPr>
      <w:rFonts w:ascii="Courier New" w:eastAsia="Times New Roman" w:hAnsi="Courier New" w:cs="Courier New"/>
      <w:sz w:val="20"/>
      <w:szCs w:val="20"/>
    </w:rPr>
  </w:style>
  <w:style w:type="paragraph" w:styleId="NormalWeb">
    <w:name w:val="Normal (Web)"/>
    <w:basedOn w:val="Normal"/>
    <w:uiPriority w:val="99"/>
    <w:unhideWhenUsed/>
    <w:rsid w:val="007C6E2A"/>
    <w:pPr>
      <w:spacing w:before="100" w:beforeAutospacing="1" w:after="100" w:afterAutospacing="1" w:line="240" w:lineRule="auto"/>
    </w:pPr>
    <w:rPr>
      <w:rFonts w:ascii="Times New Roman" w:eastAsia="Times New Roman" w:hAnsi="Times New Roman" w:cs="Times New Roman"/>
      <w:color w:val="auto"/>
      <w:lang w:val="en-CN"/>
    </w:rPr>
  </w:style>
  <w:style w:type="character" w:styleId="Hyperlink">
    <w:name w:val="Hyperlink"/>
    <w:basedOn w:val="DefaultParagraphFont"/>
    <w:uiPriority w:val="99"/>
    <w:semiHidden/>
    <w:unhideWhenUsed/>
    <w:rsid w:val="007C6E2A"/>
    <w:rPr>
      <w:color w:val="0000FF"/>
      <w:u w:val="single"/>
    </w:rPr>
  </w:style>
  <w:style w:type="character" w:styleId="Strong">
    <w:name w:val="Strong"/>
    <w:basedOn w:val="DefaultParagraphFont"/>
    <w:uiPriority w:val="22"/>
    <w:qFormat/>
    <w:rsid w:val="00DC655E"/>
    <w:rPr>
      <w:b/>
      <w:bCs/>
    </w:rPr>
  </w:style>
  <w:style w:type="paragraph" w:styleId="FootnoteText">
    <w:name w:val="footnote text"/>
    <w:basedOn w:val="Normal"/>
    <w:link w:val="FootnoteTextChar"/>
    <w:uiPriority w:val="99"/>
    <w:semiHidden/>
    <w:unhideWhenUsed/>
    <w:rsid w:val="00FF3E20"/>
    <w:pPr>
      <w:spacing w:line="240" w:lineRule="auto"/>
    </w:pPr>
    <w:rPr>
      <w:sz w:val="20"/>
      <w:szCs w:val="20"/>
    </w:rPr>
  </w:style>
  <w:style w:type="character" w:customStyle="1" w:styleId="FootnoteTextChar">
    <w:name w:val="Footnote Text Char"/>
    <w:basedOn w:val="DefaultParagraphFont"/>
    <w:link w:val="FootnoteText"/>
    <w:uiPriority w:val="99"/>
    <w:semiHidden/>
    <w:rsid w:val="00FF3E20"/>
    <w:rPr>
      <w:sz w:val="20"/>
      <w:szCs w:val="20"/>
    </w:rPr>
  </w:style>
  <w:style w:type="character" w:styleId="FootnoteReference">
    <w:name w:val="footnote reference"/>
    <w:basedOn w:val="DefaultParagraphFont"/>
    <w:uiPriority w:val="99"/>
    <w:semiHidden/>
    <w:unhideWhenUsed/>
    <w:rsid w:val="00FF3E20"/>
    <w:rPr>
      <w:vertAlign w:val="superscript"/>
    </w:rPr>
  </w:style>
  <w:style w:type="character" w:styleId="Emphasis">
    <w:name w:val="Emphasis"/>
    <w:basedOn w:val="DefaultParagraphFont"/>
    <w:uiPriority w:val="20"/>
    <w:qFormat/>
    <w:rsid w:val="00C02C49"/>
    <w:rPr>
      <w:i/>
      <w:iCs/>
    </w:rPr>
  </w:style>
  <w:style w:type="paragraph" w:styleId="ListParagraph">
    <w:name w:val="List Paragraph"/>
    <w:basedOn w:val="Normal"/>
    <w:uiPriority w:val="34"/>
    <w:qFormat/>
    <w:rsid w:val="00C02C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497433">
      <w:bodyDiv w:val="1"/>
      <w:marLeft w:val="0"/>
      <w:marRight w:val="0"/>
      <w:marTop w:val="0"/>
      <w:marBottom w:val="0"/>
      <w:divBdr>
        <w:top w:val="none" w:sz="0" w:space="0" w:color="auto"/>
        <w:left w:val="none" w:sz="0" w:space="0" w:color="auto"/>
        <w:bottom w:val="none" w:sz="0" w:space="0" w:color="auto"/>
        <w:right w:val="none" w:sz="0" w:space="0" w:color="auto"/>
      </w:divBdr>
    </w:div>
    <w:div w:id="208225725">
      <w:bodyDiv w:val="1"/>
      <w:marLeft w:val="0"/>
      <w:marRight w:val="0"/>
      <w:marTop w:val="0"/>
      <w:marBottom w:val="0"/>
      <w:divBdr>
        <w:top w:val="none" w:sz="0" w:space="0" w:color="auto"/>
        <w:left w:val="none" w:sz="0" w:space="0" w:color="auto"/>
        <w:bottom w:val="none" w:sz="0" w:space="0" w:color="auto"/>
        <w:right w:val="none" w:sz="0" w:space="0" w:color="auto"/>
      </w:divBdr>
    </w:div>
    <w:div w:id="426122821">
      <w:bodyDiv w:val="1"/>
      <w:marLeft w:val="0"/>
      <w:marRight w:val="0"/>
      <w:marTop w:val="0"/>
      <w:marBottom w:val="0"/>
      <w:divBdr>
        <w:top w:val="none" w:sz="0" w:space="0" w:color="auto"/>
        <w:left w:val="none" w:sz="0" w:space="0" w:color="auto"/>
        <w:bottom w:val="none" w:sz="0" w:space="0" w:color="auto"/>
        <w:right w:val="none" w:sz="0" w:space="0" w:color="auto"/>
      </w:divBdr>
    </w:div>
    <w:div w:id="652372995">
      <w:bodyDiv w:val="1"/>
      <w:marLeft w:val="0"/>
      <w:marRight w:val="0"/>
      <w:marTop w:val="0"/>
      <w:marBottom w:val="0"/>
      <w:divBdr>
        <w:top w:val="none" w:sz="0" w:space="0" w:color="auto"/>
        <w:left w:val="none" w:sz="0" w:space="0" w:color="auto"/>
        <w:bottom w:val="none" w:sz="0" w:space="0" w:color="auto"/>
        <w:right w:val="none" w:sz="0" w:space="0" w:color="auto"/>
      </w:divBdr>
      <w:divsChild>
        <w:div w:id="822887333">
          <w:marLeft w:val="0"/>
          <w:marRight w:val="0"/>
          <w:marTop w:val="0"/>
          <w:marBottom w:val="0"/>
          <w:divBdr>
            <w:top w:val="none" w:sz="0" w:space="0" w:color="auto"/>
            <w:left w:val="none" w:sz="0" w:space="0" w:color="auto"/>
            <w:bottom w:val="none" w:sz="0" w:space="0" w:color="auto"/>
            <w:right w:val="none" w:sz="0" w:space="0" w:color="auto"/>
          </w:divBdr>
          <w:divsChild>
            <w:div w:id="65414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49412">
      <w:bodyDiv w:val="1"/>
      <w:marLeft w:val="0"/>
      <w:marRight w:val="0"/>
      <w:marTop w:val="0"/>
      <w:marBottom w:val="0"/>
      <w:divBdr>
        <w:top w:val="none" w:sz="0" w:space="0" w:color="auto"/>
        <w:left w:val="none" w:sz="0" w:space="0" w:color="auto"/>
        <w:bottom w:val="none" w:sz="0" w:space="0" w:color="auto"/>
        <w:right w:val="none" w:sz="0" w:space="0" w:color="auto"/>
      </w:divBdr>
    </w:div>
    <w:div w:id="749040024">
      <w:bodyDiv w:val="1"/>
      <w:marLeft w:val="0"/>
      <w:marRight w:val="0"/>
      <w:marTop w:val="0"/>
      <w:marBottom w:val="0"/>
      <w:divBdr>
        <w:top w:val="none" w:sz="0" w:space="0" w:color="auto"/>
        <w:left w:val="none" w:sz="0" w:space="0" w:color="auto"/>
        <w:bottom w:val="none" w:sz="0" w:space="0" w:color="auto"/>
        <w:right w:val="none" w:sz="0" w:space="0" w:color="auto"/>
      </w:divBdr>
    </w:div>
    <w:div w:id="942615111">
      <w:bodyDiv w:val="1"/>
      <w:marLeft w:val="0"/>
      <w:marRight w:val="0"/>
      <w:marTop w:val="0"/>
      <w:marBottom w:val="0"/>
      <w:divBdr>
        <w:top w:val="none" w:sz="0" w:space="0" w:color="auto"/>
        <w:left w:val="none" w:sz="0" w:space="0" w:color="auto"/>
        <w:bottom w:val="none" w:sz="0" w:space="0" w:color="auto"/>
        <w:right w:val="none" w:sz="0" w:space="0" w:color="auto"/>
      </w:divBdr>
      <w:divsChild>
        <w:div w:id="9646338">
          <w:marLeft w:val="0"/>
          <w:marRight w:val="0"/>
          <w:marTop w:val="0"/>
          <w:marBottom w:val="0"/>
          <w:divBdr>
            <w:top w:val="none" w:sz="0" w:space="0" w:color="auto"/>
            <w:left w:val="none" w:sz="0" w:space="0" w:color="auto"/>
            <w:bottom w:val="none" w:sz="0" w:space="0" w:color="auto"/>
            <w:right w:val="none" w:sz="0" w:space="0" w:color="auto"/>
          </w:divBdr>
          <w:divsChild>
            <w:div w:id="84012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747">
      <w:bodyDiv w:val="1"/>
      <w:marLeft w:val="0"/>
      <w:marRight w:val="0"/>
      <w:marTop w:val="0"/>
      <w:marBottom w:val="0"/>
      <w:divBdr>
        <w:top w:val="none" w:sz="0" w:space="0" w:color="auto"/>
        <w:left w:val="none" w:sz="0" w:space="0" w:color="auto"/>
        <w:bottom w:val="none" w:sz="0" w:space="0" w:color="auto"/>
        <w:right w:val="none" w:sz="0" w:space="0" w:color="auto"/>
      </w:divBdr>
    </w:div>
    <w:div w:id="1736471488">
      <w:bodyDiv w:val="1"/>
      <w:marLeft w:val="0"/>
      <w:marRight w:val="0"/>
      <w:marTop w:val="0"/>
      <w:marBottom w:val="0"/>
      <w:divBdr>
        <w:top w:val="none" w:sz="0" w:space="0" w:color="auto"/>
        <w:left w:val="none" w:sz="0" w:space="0" w:color="auto"/>
        <w:bottom w:val="none" w:sz="0" w:space="0" w:color="auto"/>
        <w:right w:val="none" w:sz="0" w:space="0" w:color="auto"/>
      </w:divBdr>
      <w:divsChild>
        <w:div w:id="1021319893">
          <w:marLeft w:val="0"/>
          <w:marRight w:val="0"/>
          <w:marTop w:val="0"/>
          <w:marBottom w:val="0"/>
          <w:divBdr>
            <w:top w:val="none" w:sz="0" w:space="0" w:color="auto"/>
            <w:left w:val="none" w:sz="0" w:space="0" w:color="auto"/>
            <w:bottom w:val="none" w:sz="0" w:space="0" w:color="auto"/>
            <w:right w:val="none" w:sz="0" w:space="0" w:color="auto"/>
          </w:divBdr>
          <w:divsChild>
            <w:div w:id="1259217680">
              <w:marLeft w:val="0"/>
              <w:marRight w:val="0"/>
              <w:marTop w:val="0"/>
              <w:marBottom w:val="0"/>
              <w:divBdr>
                <w:top w:val="none" w:sz="0" w:space="0" w:color="auto"/>
                <w:left w:val="none" w:sz="0" w:space="0" w:color="auto"/>
                <w:bottom w:val="none" w:sz="0" w:space="0" w:color="auto"/>
                <w:right w:val="none" w:sz="0" w:space="0" w:color="auto"/>
              </w:divBdr>
              <w:divsChild>
                <w:div w:id="1350180448">
                  <w:marLeft w:val="0"/>
                  <w:marRight w:val="0"/>
                  <w:marTop w:val="0"/>
                  <w:marBottom w:val="0"/>
                  <w:divBdr>
                    <w:top w:val="none" w:sz="0" w:space="0" w:color="auto"/>
                    <w:left w:val="none" w:sz="0" w:space="0" w:color="auto"/>
                    <w:bottom w:val="none" w:sz="0" w:space="0" w:color="auto"/>
                    <w:right w:val="none" w:sz="0" w:space="0" w:color="auto"/>
                  </w:divBdr>
                  <w:divsChild>
                    <w:div w:id="1601832836">
                      <w:marLeft w:val="0"/>
                      <w:marRight w:val="0"/>
                      <w:marTop w:val="0"/>
                      <w:marBottom w:val="0"/>
                      <w:divBdr>
                        <w:top w:val="none" w:sz="0" w:space="0" w:color="auto"/>
                        <w:left w:val="none" w:sz="0" w:space="0" w:color="auto"/>
                        <w:bottom w:val="none" w:sz="0" w:space="0" w:color="auto"/>
                        <w:right w:val="none" w:sz="0" w:space="0" w:color="auto"/>
                      </w:divBdr>
                      <w:divsChild>
                        <w:div w:id="863833106">
                          <w:marLeft w:val="0"/>
                          <w:marRight w:val="0"/>
                          <w:marTop w:val="0"/>
                          <w:marBottom w:val="0"/>
                          <w:divBdr>
                            <w:top w:val="none" w:sz="0" w:space="0" w:color="auto"/>
                            <w:left w:val="none" w:sz="0" w:space="0" w:color="auto"/>
                            <w:bottom w:val="none" w:sz="0" w:space="0" w:color="auto"/>
                            <w:right w:val="none" w:sz="0" w:space="0" w:color="auto"/>
                          </w:divBdr>
                          <w:divsChild>
                            <w:div w:id="612976610">
                              <w:marLeft w:val="0"/>
                              <w:marRight w:val="0"/>
                              <w:marTop w:val="0"/>
                              <w:marBottom w:val="0"/>
                              <w:divBdr>
                                <w:top w:val="none" w:sz="0" w:space="0" w:color="auto"/>
                                <w:left w:val="none" w:sz="0" w:space="0" w:color="auto"/>
                                <w:bottom w:val="none" w:sz="0" w:space="0" w:color="auto"/>
                                <w:right w:val="none" w:sz="0" w:space="0" w:color="auto"/>
                              </w:divBdr>
                              <w:divsChild>
                                <w:div w:id="1275559255">
                                  <w:marLeft w:val="0"/>
                                  <w:marRight w:val="0"/>
                                  <w:marTop w:val="0"/>
                                  <w:marBottom w:val="0"/>
                                  <w:divBdr>
                                    <w:top w:val="none" w:sz="0" w:space="0" w:color="auto"/>
                                    <w:left w:val="none" w:sz="0" w:space="0" w:color="auto"/>
                                    <w:bottom w:val="none" w:sz="0" w:space="0" w:color="auto"/>
                                    <w:right w:val="none" w:sz="0" w:space="0" w:color="auto"/>
                                  </w:divBdr>
                                  <w:divsChild>
                                    <w:div w:id="1238856647">
                                      <w:marLeft w:val="0"/>
                                      <w:marRight w:val="0"/>
                                      <w:marTop w:val="0"/>
                                      <w:marBottom w:val="0"/>
                                      <w:divBdr>
                                        <w:top w:val="none" w:sz="0" w:space="0" w:color="auto"/>
                                        <w:left w:val="none" w:sz="0" w:space="0" w:color="auto"/>
                                        <w:bottom w:val="none" w:sz="0" w:space="0" w:color="auto"/>
                                        <w:right w:val="none" w:sz="0" w:space="0" w:color="auto"/>
                                      </w:divBdr>
                                      <w:divsChild>
                                        <w:div w:id="1082291884">
                                          <w:marLeft w:val="0"/>
                                          <w:marRight w:val="0"/>
                                          <w:marTop w:val="0"/>
                                          <w:marBottom w:val="0"/>
                                          <w:divBdr>
                                            <w:top w:val="none" w:sz="0" w:space="0" w:color="auto"/>
                                            <w:left w:val="none" w:sz="0" w:space="0" w:color="auto"/>
                                            <w:bottom w:val="none" w:sz="0" w:space="0" w:color="auto"/>
                                            <w:right w:val="none" w:sz="0" w:space="0" w:color="auto"/>
                                          </w:divBdr>
                                        </w:div>
                                      </w:divsChild>
                                    </w:div>
                                    <w:div w:id="1335180191">
                                      <w:marLeft w:val="0"/>
                                      <w:marRight w:val="0"/>
                                      <w:marTop w:val="0"/>
                                      <w:marBottom w:val="0"/>
                                      <w:divBdr>
                                        <w:top w:val="none" w:sz="0" w:space="0" w:color="auto"/>
                                        <w:left w:val="none" w:sz="0" w:space="0" w:color="auto"/>
                                        <w:bottom w:val="none" w:sz="0" w:space="0" w:color="auto"/>
                                        <w:right w:val="none" w:sz="0" w:space="0" w:color="auto"/>
                                      </w:divBdr>
                                      <w:divsChild>
                                        <w:div w:id="92288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09929">
                          <w:marLeft w:val="0"/>
                          <w:marRight w:val="0"/>
                          <w:marTop w:val="0"/>
                          <w:marBottom w:val="0"/>
                          <w:divBdr>
                            <w:top w:val="none" w:sz="0" w:space="0" w:color="auto"/>
                            <w:left w:val="none" w:sz="0" w:space="0" w:color="auto"/>
                            <w:bottom w:val="none" w:sz="0" w:space="0" w:color="auto"/>
                            <w:right w:val="none" w:sz="0" w:space="0" w:color="auto"/>
                          </w:divBdr>
                          <w:divsChild>
                            <w:div w:id="537283698">
                              <w:marLeft w:val="0"/>
                              <w:marRight w:val="0"/>
                              <w:marTop w:val="0"/>
                              <w:marBottom w:val="0"/>
                              <w:divBdr>
                                <w:top w:val="none" w:sz="0" w:space="0" w:color="auto"/>
                                <w:left w:val="none" w:sz="0" w:space="0" w:color="auto"/>
                                <w:bottom w:val="none" w:sz="0" w:space="0" w:color="auto"/>
                                <w:right w:val="none" w:sz="0" w:space="0" w:color="auto"/>
                              </w:divBdr>
                              <w:divsChild>
                                <w:div w:id="354963682">
                                  <w:marLeft w:val="0"/>
                                  <w:marRight w:val="0"/>
                                  <w:marTop w:val="0"/>
                                  <w:marBottom w:val="0"/>
                                  <w:divBdr>
                                    <w:top w:val="none" w:sz="0" w:space="0" w:color="auto"/>
                                    <w:left w:val="none" w:sz="0" w:space="0" w:color="auto"/>
                                    <w:bottom w:val="none" w:sz="0" w:space="0" w:color="auto"/>
                                    <w:right w:val="none" w:sz="0" w:space="0" w:color="auto"/>
                                  </w:divBdr>
                                  <w:divsChild>
                                    <w:div w:id="2067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833883">
              <w:marLeft w:val="0"/>
              <w:marRight w:val="0"/>
              <w:marTop w:val="0"/>
              <w:marBottom w:val="0"/>
              <w:divBdr>
                <w:top w:val="none" w:sz="0" w:space="0" w:color="auto"/>
                <w:left w:val="none" w:sz="0" w:space="0" w:color="auto"/>
                <w:bottom w:val="none" w:sz="0" w:space="0" w:color="auto"/>
                <w:right w:val="none" w:sz="0" w:space="0" w:color="auto"/>
              </w:divBdr>
              <w:divsChild>
                <w:div w:id="477065933">
                  <w:marLeft w:val="0"/>
                  <w:marRight w:val="0"/>
                  <w:marTop w:val="0"/>
                  <w:marBottom w:val="0"/>
                  <w:divBdr>
                    <w:top w:val="none" w:sz="0" w:space="0" w:color="auto"/>
                    <w:left w:val="none" w:sz="0" w:space="0" w:color="auto"/>
                    <w:bottom w:val="none" w:sz="0" w:space="0" w:color="auto"/>
                    <w:right w:val="none" w:sz="0" w:space="0" w:color="auto"/>
                  </w:divBdr>
                  <w:divsChild>
                    <w:div w:id="61147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871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QJBsqKxvhrtsmHHOk8KX_N77MXzrD9kb/view?usp=drive_link" TargetMode="External"/><Relationship Id="rId13" Type="http://schemas.openxmlformats.org/officeDocument/2006/relationships/hyperlink" Target="https://drive.google.com/file/d/1vAvrVRRknXvi5BXDciuvZ7AxZT5X8NPZ/view?usp=sharin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proxy.lirn.net/WorldQuantUniv?_rwpLaunch=true&amp;groupID=2"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k_EHz4sbsjLD55Ba0MICsDHP2DMPDAI1/view?usp=drive_link"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drive.google.com/file/d/1Jyh9rYKi2MV626d9fpfe9wYREXDQakld/view?usp=drive_lin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file/d/1PZ7WLUwtFFmRoIzESv4i6KkOqZaW21zD/view?usp=drive_link" TargetMode="Externa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PBC25</b:Tag>
    <b:SourceType>InternetSite</b:SourceType>
    <b:Guid>{6A170C92-0CD9-A94E-874D-E0993B245936}</b:Guid>
    <b:Title>CGB Yield Curve and Others</b:Title>
    <b:Year>2025</b:Year>
    <b:Author>
      <b:Author>
        <b:NameList>
          <b:Person>
            <b:Last>PBC</b:Last>
          </b:Person>
        </b:NameList>
      </b:Author>
    </b:Author>
    <b:URL>http://www.pbc.gov.cn/en/3688247/3688990/index.html</b:URL>
    <b:Month>04</b:Month>
    <b:Day>11</b:Day>
    <b:RefOrder>1</b:RefOrder>
  </b:Source>
</b:Sources>
</file>

<file path=customXml/itemProps1.xml><?xml version="1.0" encoding="utf-8"?>
<ds:datastoreItem xmlns:ds="http://schemas.openxmlformats.org/officeDocument/2006/customXml" ds:itemID="{E0FE3A17-5B4F-C84A-8EB6-D4C8ED205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2606</Words>
  <Characters>14858</Characters>
  <Application>Microsoft Office Word</Application>
  <DocSecurity>0</DocSecurity>
  <Lines>123</Lines>
  <Paragraphs>34</Paragraphs>
  <ScaleCrop>false</ScaleCrop>
  <Company/>
  <LinksUpToDate>false</LinksUpToDate>
  <CharactersWithSpaces>17430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2025-04-13T11:31:00Z</dcterms:created>
  <dcterms:modified xsi:type="dcterms:W3CDTF">2025-04-13T11:43:00Z</dcterms:modified>
</cp:coreProperties>
</file>